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012" w:rsidRDefault="00D47012">
      <w:pPr>
        <w:jc w:val="center"/>
        <w:rPr>
          <w:rFonts w:ascii="Arial" w:hAnsi="Arial" w:cs="Arial"/>
          <w:b/>
        </w:rPr>
      </w:pPr>
      <w:r>
        <w:rPr>
          <w:rFonts w:ascii="Arial" w:hAnsi="Arial" w:cs="Arial"/>
          <w:b/>
        </w:rPr>
        <w:t>Standard Development Roadmap</w:t>
      </w:r>
    </w:p>
    <w:p w:rsidR="00D47012" w:rsidRDefault="00D47012">
      <w:pPr>
        <w:rPr>
          <w:i/>
        </w:rPr>
      </w:pPr>
      <w:r>
        <w:rPr>
          <w:i/>
        </w:rPr>
        <w:t>This section is maintained by the drafting team during the development of the standard and will be removed when the standard becomes effective.</w:t>
      </w:r>
    </w:p>
    <w:p w:rsidR="00D47012" w:rsidRDefault="00D47012">
      <w:pPr>
        <w:rPr>
          <w:b/>
        </w:rPr>
      </w:pPr>
    </w:p>
    <w:p w:rsidR="00D47012" w:rsidRDefault="00D47012">
      <w:pPr>
        <w:rPr>
          <w:b/>
        </w:rPr>
      </w:pPr>
      <w:r>
        <w:rPr>
          <w:b/>
        </w:rPr>
        <w:t>Development Steps Completed:</w:t>
      </w:r>
    </w:p>
    <w:p w:rsidR="00D47012" w:rsidRDefault="00D47012">
      <w:r>
        <w:t>SAR authorized by Standards Committee for development as a reliability standard July 12, 2007.</w:t>
      </w:r>
    </w:p>
    <w:p w:rsidR="00D47012" w:rsidRDefault="00D47012">
      <w:r>
        <w:t>Standard Drafting Team appointed by Standards Committee September 11, 2007.</w:t>
      </w:r>
    </w:p>
    <w:p w:rsidR="00D47012" w:rsidRDefault="00D47012">
      <w:pPr>
        <w:rPr>
          <w:b/>
        </w:rPr>
      </w:pPr>
    </w:p>
    <w:p w:rsidR="00D47012" w:rsidRDefault="00D47012">
      <w:pPr>
        <w:rPr>
          <w:b/>
        </w:rPr>
      </w:pPr>
      <w:r>
        <w:rPr>
          <w:b/>
        </w:rPr>
        <w:t>Proposed Action Plan and Description of Current Draft:</w:t>
      </w:r>
    </w:p>
    <w:p w:rsidR="00D47012" w:rsidRDefault="00D47012">
      <w:r>
        <w:t xml:space="preserve">This is the second draft of the proposed standard and includes requirements with violation risk factors, time horizons and measures; and Violation Severity Levels.   This second posting of the standard is for a </w:t>
      </w:r>
      <w:r w:rsidR="005D6FB7">
        <w:t>45</w:t>
      </w:r>
      <w:r>
        <w:t>-day comment period</w:t>
      </w:r>
      <w:r w:rsidR="005D6FB7">
        <w:t xml:space="preserve"> and ballot</w:t>
      </w:r>
      <w:r>
        <w:t xml:space="preserve"> from J</w:t>
      </w:r>
      <w:r w:rsidR="005D6FB7">
        <w:t>uly 31</w:t>
      </w:r>
      <w:r>
        <w:t xml:space="preserve">through </w:t>
      </w:r>
      <w:r w:rsidR="005D6FB7">
        <w:t>September 1</w:t>
      </w:r>
      <w:r>
        <w:t>5, 2010.</w:t>
      </w:r>
    </w:p>
    <w:p w:rsidR="00D47012" w:rsidRDefault="00D47012"/>
    <w:p w:rsidR="00D47012" w:rsidRDefault="00D47012">
      <w:pPr>
        <w:rPr>
          <w:b/>
        </w:rPr>
      </w:pPr>
      <w:r>
        <w:rPr>
          <w:b/>
        </w:rPr>
        <w:t>Future Development Plan: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0"/>
        <w:gridCol w:w="3240"/>
      </w:tblGrid>
      <w:tr w:rsidR="00D47012">
        <w:tc>
          <w:tcPr>
            <w:tcW w:w="5940" w:type="dxa"/>
          </w:tcPr>
          <w:p w:rsidR="00D47012" w:rsidRDefault="00D47012">
            <w:pPr>
              <w:jc w:val="center"/>
              <w:rPr>
                <w:b/>
              </w:rPr>
            </w:pPr>
            <w:r>
              <w:rPr>
                <w:b/>
              </w:rPr>
              <w:t>Anticipated Actions</w:t>
            </w:r>
          </w:p>
        </w:tc>
        <w:tc>
          <w:tcPr>
            <w:tcW w:w="3240" w:type="dxa"/>
          </w:tcPr>
          <w:p w:rsidR="00D47012" w:rsidRDefault="00D47012">
            <w:pPr>
              <w:jc w:val="center"/>
              <w:rPr>
                <w:b/>
              </w:rPr>
            </w:pPr>
            <w:r>
              <w:rPr>
                <w:b/>
              </w:rPr>
              <w:t>Anticipated Date</w:t>
            </w:r>
          </w:p>
        </w:tc>
      </w:tr>
      <w:tr w:rsidR="00D47012">
        <w:tc>
          <w:tcPr>
            <w:tcW w:w="5940" w:type="dxa"/>
          </w:tcPr>
          <w:p w:rsidR="00D47012" w:rsidRDefault="00D47012">
            <w:pPr>
              <w:numPr>
                <w:ilvl w:val="0"/>
                <w:numId w:val="14"/>
              </w:numPr>
              <w:spacing w:before="60" w:after="120"/>
            </w:pPr>
            <w:r>
              <w:t>Post response to comments and second version of standard</w:t>
            </w:r>
            <w:r w:rsidR="005D6FB7">
              <w:t xml:space="preserve"> for comment and ballot</w:t>
            </w:r>
            <w:r>
              <w:t>.</w:t>
            </w:r>
          </w:p>
        </w:tc>
        <w:tc>
          <w:tcPr>
            <w:tcW w:w="3240" w:type="dxa"/>
          </w:tcPr>
          <w:p w:rsidR="00D47012" w:rsidRDefault="005D6FB7">
            <w:pPr>
              <w:spacing w:before="60"/>
            </w:pPr>
            <w:r>
              <w:t>July</w:t>
            </w:r>
            <w:r w:rsidR="00D47012">
              <w:t xml:space="preserve"> 2010</w:t>
            </w:r>
          </w:p>
        </w:tc>
      </w:tr>
      <w:tr w:rsidR="00D47012">
        <w:tc>
          <w:tcPr>
            <w:tcW w:w="5940" w:type="dxa"/>
          </w:tcPr>
          <w:p w:rsidR="00D47012" w:rsidRDefault="005D6FB7" w:rsidP="005D6FB7">
            <w:pPr>
              <w:numPr>
                <w:ilvl w:val="0"/>
                <w:numId w:val="14"/>
              </w:numPr>
              <w:spacing w:before="60" w:after="120"/>
            </w:pPr>
            <w:r>
              <w:t>Post response to comments and conduct recirculation ballot.</w:t>
            </w:r>
          </w:p>
        </w:tc>
        <w:tc>
          <w:tcPr>
            <w:tcW w:w="3240" w:type="dxa"/>
          </w:tcPr>
          <w:p w:rsidR="00D47012" w:rsidRDefault="00D47012">
            <w:pPr>
              <w:spacing w:before="60"/>
            </w:pPr>
            <w:r>
              <w:t>October 2010</w:t>
            </w:r>
          </w:p>
        </w:tc>
      </w:tr>
      <w:tr w:rsidR="005D6FB7">
        <w:tc>
          <w:tcPr>
            <w:tcW w:w="5940" w:type="dxa"/>
          </w:tcPr>
          <w:p w:rsidR="005D6FB7" w:rsidRDefault="005D6FB7">
            <w:pPr>
              <w:numPr>
                <w:ilvl w:val="0"/>
                <w:numId w:val="14"/>
              </w:numPr>
              <w:spacing w:before="60" w:after="120"/>
            </w:pPr>
            <w:r>
              <w:t>BOT adoption.</w:t>
            </w:r>
          </w:p>
        </w:tc>
        <w:tc>
          <w:tcPr>
            <w:tcW w:w="3240" w:type="dxa"/>
          </w:tcPr>
          <w:p w:rsidR="005D6FB7" w:rsidRDefault="005D6FB7">
            <w:pPr>
              <w:spacing w:before="60"/>
            </w:pPr>
            <w:r>
              <w:t>November 2010</w:t>
            </w:r>
          </w:p>
        </w:tc>
      </w:tr>
      <w:tr w:rsidR="005D6FB7">
        <w:tc>
          <w:tcPr>
            <w:tcW w:w="5940" w:type="dxa"/>
          </w:tcPr>
          <w:p w:rsidR="005D6FB7" w:rsidRDefault="005D6FB7">
            <w:pPr>
              <w:numPr>
                <w:ilvl w:val="0"/>
                <w:numId w:val="14"/>
              </w:numPr>
              <w:spacing w:before="60" w:after="120"/>
            </w:pPr>
            <w:r>
              <w:t>File with regulatory authorities.</w:t>
            </w:r>
          </w:p>
        </w:tc>
        <w:tc>
          <w:tcPr>
            <w:tcW w:w="3240" w:type="dxa"/>
          </w:tcPr>
          <w:p w:rsidR="005D6FB7" w:rsidRDefault="005D6FB7">
            <w:pPr>
              <w:spacing w:before="60"/>
            </w:pPr>
            <w:r>
              <w:t>December 2010</w:t>
            </w:r>
          </w:p>
        </w:tc>
      </w:tr>
    </w:tbl>
    <w:p w:rsidR="00D47012" w:rsidRDefault="00D47012"/>
    <w:p w:rsidR="00D47012" w:rsidRDefault="00D47012">
      <w:pPr>
        <w:pStyle w:val="Heading1"/>
        <w:tabs>
          <w:tab w:val="left" w:pos="720"/>
        </w:tabs>
        <w:spacing w:before="0" w:after="120"/>
        <w:jc w:val="center"/>
        <w:rPr>
          <w:rFonts w:ascii="Arial Bold" w:hAnsi="Arial Bold"/>
          <w:sz w:val="22"/>
          <w:szCs w:val="22"/>
        </w:rPr>
      </w:pPr>
      <w:r>
        <w:rPr>
          <w:szCs w:val="22"/>
        </w:rPr>
        <w:br w:type="page"/>
      </w:r>
      <w:r>
        <w:rPr>
          <w:rFonts w:ascii="Arial Bold" w:hAnsi="Arial Bold"/>
          <w:sz w:val="22"/>
          <w:szCs w:val="22"/>
        </w:rPr>
        <w:lastRenderedPageBreak/>
        <w:t>Definitions of Terms Used in Standard</w:t>
      </w:r>
    </w:p>
    <w:p w:rsidR="00D47012" w:rsidRDefault="00D47012">
      <w:pPr>
        <w:rPr>
          <w:i/>
        </w:rPr>
      </w:pPr>
      <w:r>
        <w:rPr>
          <w:i/>
        </w:rPr>
        <w:t>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w:t>
      </w:r>
    </w:p>
    <w:p w:rsidR="00D47012" w:rsidRDefault="00D47012">
      <w:pPr>
        <w:rPr>
          <w:b/>
        </w:rPr>
      </w:pPr>
    </w:p>
    <w:p w:rsidR="00EA6B34" w:rsidRDefault="00D47012" w:rsidP="00FE6D12">
      <w:pPr>
        <w:pStyle w:val="Section"/>
        <w:numPr>
          <w:ilvl w:val="0"/>
          <w:numId w:val="0"/>
        </w:numPr>
        <w:tabs>
          <w:tab w:val="clear" w:pos="360"/>
          <w:tab w:val="clear" w:pos="1080"/>
        </w:tabs>
        <w:rPr>
          <w:rFonts w:ascii="Times New Roman" w:hAnsi="Times New Roman"/>
          <w:b w:val="0"/>
        </w:rPr>
      </w:pPr>
      <w:r w:rsidRPr="003C5F57">
        <w:rPr>
          <w:rFonts w:ascii="Times New Roman" w:hAnsi="Times New Roman"/>
        </w:rPr>
        <w:t xml:space="preserve">Frequency Excursion – </w:t>
      </w:r>
      <w:r w:rsidRPr="003C5F57">
        <w:rPr>
          <w:rFonts w:ascii="Times New Roman" w:hAnsi="Times New Roman"/>
          <w:b w:val="0"/>
        </w:rPr>
        <w:t>an exceedance of system frequency beyond a continuous operating band; 60±0.5 Hertz.</w:t>
      </w:r>
    </w:p>
    <w:p w:rsidR="00D47012" w:rsidRDefault="00EA6B34" w:rsidP="00FE6D12">
      <w:pPr>
        <w:pStyle w:val="Section"/>
        <w:numPr>
          <w:ilvl w:val="0"/>
          <w:numId w:val="0"/>
        </w:numPr>
        <w:tabs>
          <w:tab w:val="clear" w:pos="360"/>
          <w:tab w:val="clear" w:pos="1080"/>
        </w:tabs>
        <w:rPr>
          <w:szCs w:val="22"/>
        </w:rPr>
      </w:pPr>
      <w:r w:rsidRPr="003C5F57">
        <w:rPr>
          <w:rFonts w:ascii="Times New Roman" w:hAnsi="Times New Roman"/>
        </w:rPr>
        <w:t xml:space="preserve">Voltage Excursion – </w:t>
      </w:r>
      <w:r w:rsidRPr="003C5F57">
        <w:rPr>
          <w:rFonts w:ascii="Times New Roman" w:hAnsi="Times New Roman"/>
          <w:b w:val="0"/>
        </w:rPr>
        <w:t>an exceedance of system voltage beyond a continuous operating band; ±5% of scheduled</w:t>
      </w:r>
      <w:r w:rsidR="0074277A">
        <w:rPr>
          <w:rFonts w:ascii="Times New Roman" w:hAnsi="Times New Roman"/>
          <w:b w:val="0"/>
        </w:rPr>
        <w:t xml:space="preserve"> voltage</w:t>
      </w:r>
      <w:r w:rsidRPr="003C5F57">
        <w:rPr>
          <w:rFonts w:ascii="Times New Roman" w:hAnsi="Times New Roman"/>
          <w:b w:val="0"/>
        </w:rPr>
        <w:t>.</w:t>
      </w:r>
      <w:r w:rsidR="00D47012" w:rsidRPr="00F14BAD">
        <w:rPr>
          <w:rFonts w:ascii="Times New Roman" w:hAnsi="Times New Roman"/>
          <w:szCs w:val="22"/>
          <w:highlight w:val="lightGray"/>
        </w:rPr>
        <w:br w:type="page"/>
      </w:r>
      <w:r w:rsidR="009B10C5" w:rsidRPr="009B10C5">
        <w:rPr>
          <w:noProof/>
        </w:rPr>
        <w:lastRenderedPageBreak/>
        <w:pict>
          <v:shapetype id="_x0000_t202" coordsize="21600,21600" o:spt="202" path="m,l,21600r21600,l21600,xe">
            <v:stroke joinstyle="miter"/>
            <v:path gradientshapeok="t" o:connecttype="rect"/>
          </v:shapetype>
          <v:shape id="_x0000_s1026" type="#_x0000_t202" style="position:absolute;margin-left:162pt;margin-top:982.45pt;width:347.7pt;height:45pt;z-index:251658240" stroked="f">
            <v:fill opacity="0"/>
            <v:textbox style="mso-next-textbox:#_x0000_s1026">
              <w:txbxContent>
                <w:p w:rsidR="00D47012" w:rsidRDefault="00D47012">
                  <w:pPr>
                    <w:pStyle w:val="Header"/>
                    <w:tabs>
                      <w:tab w:val="clear" w:pos="8640"/>
                      <w:tab w:val="right" w:pos="9360"/>
                    </w:tabs>
                    <w:jc w:val="right"/>
                    <w:rPr>
                      <w:rFonts w:ascii="Arial" w:hAnsi="Arial" w:cs="Arial"/>
                      <w:b w:val="0"/>
                      <w:sz w:val="20"/>
                      <w:szCs w:val="20"/>
                    </w:rPr>
                  </w:pPr>
                  <w:r>
                    <w:rPr>
                      <w:rFonts w:ascii="Arial" w:hAnsi="Arial" w:cs="Arial"/>
                      <w:b w:val="0"/>
                      <w:sz w:val="20"/>
                      <w:szCs w:val="20"/>
                    </w:rPr>
                    <w:t>Exhibit A</w:t>
                  </w:r>
                </w:p>
                <w:p w:rsidR="00D47012" w:rsidRDefault="00D47012">
                  <w:pPr>
                    <w:pStyle w:val="Header"/>
                    <w:tabs>
                      <w:tab w:val="clear" w:pos="8640"/>
                      <w:tab w:val="right" w:pos="9360"/>
                    </w:tabs>
                    <w:jc w:val="right"/>
                    <w:rPr>
                      <w:rFonts w:ascii="Arial" w:hAnsi="Arial" w:cs="Arial"/>
                      <w:sz w:val="20"/>
                      <w:szCs w:val="20"/>
                    </w:rPr>
                  </w:pPr>
                  <w:r>
                    <w:rPr>
                      <w:rFonts w:ascii="Arial" w:hAnsi="Arial" w:cs="Arial"/>
                      <w:sz w:val="20"/>
                      <w:szCs w:val="20"/>
                    </w:rPr>
                    <w:t>Notes from December 11, 2008 Meeting with FERC Staff</w:t>
                  </w:r>
                </w:p>
                <w:p w:rsidR="00D47012" w:rsidRDefault="00D47012">
                  <w:pPr>
                    <w:pStyle w:val="Header"/>
                    <w:tabs>
                      <w:tab w:val="clear" w:pos="8640"/>
                      <w:tab w:val="right" w:pos="9360"/>
                    </w:tabs>
                    <w:jc w:val="right"/>
                    <w:rPr>
                      <w:rFonts w:ascii="Arial" w:hAnsi="Arial" w:cs="Arial"/>
                      <w:b w:val="0"/>
                      <w:sz w:val="20"/>
                      <w:szCs w:val="20"/>
                    </w:rPr>
                  </w:pPr>
                  <w:r>
                    <w:rPr>
                      <w:rFonts w:ascii="Arial" w:hAnsi="Arial" w:cs="Arial"/>
                      <w:sz w:val="20"/>
                      <w:szCs w:val="20"/>
                    </w:rPr>
                    <w:t>Generator Verification SDT January 6-8, 2009 Meeting Notes</w:t>
                  </w:r>
                </w:p>
                <w:p w:rsidR="00D47012" w:rsidRDefault="00D47012"/>
              </w:txbxContent>
            </v:textbox>
          </v:shape>
        </w:pict>
      </w:r>
      <w:r w:rsidR="00D47012">
        <w:rPr>
          <w:szCs w:val="22"/>
        </w:rPr>
        <w:t>Introduction</w:t>
      </w:r>
    </w:p>
    <w:p w:rsidR="00D47012" w:rsidRDefault="00D47012">
      <w:pPr>
        <w:pStyle w:val="ListNumber"/>
        <w:tabs>
          <w:tab w:val="clear" w:pos="1296"/>
          <w:tab w:val="clear" w:pos="2160"/>
          <w:tab w:val="num" w:pos="900"/>
        </w:tabs>
        <w:ind w:left="2160" w:hanging="1800"/>
        <w:rPr>
          <w:b/>
          <w:szCs w:val="22"/>
        </w:rPr>
      </w:pPr>
      <w:r>
        <w:rPr>
          <w:b/>
          <w:szCs w:val="22"/>
        </w:rPr>
        <w:t>Title:</w:t>
      </w:r>
      <w:r>
        <w:rPr>
          <w:b/>
          <w:szCs w:val="22"/>
        </w:rPr>
        <w:tab/>
      </w:r>
      <w:bookmarkStart w:id="0" w:name="OLE_LINK1"/>
      <w:bookmarkStart w:id="1" w:name="OLE_LINK2"/>
      <w:r>
        <w:rPr>
          <w:b/>
          <w:szCs w:val="22"/>
        </w:rPr>
        <w:t xml:space="preserve">Generator Performance During Frequency and Voltage Excursions </w:t>
      </w:r>
      <w:bookmarkEnd w:id="0"/>
      <w:bookmarkEnd w:id="1"/>
    </w:p>
    <w:p w:rsidR="00D47012" w:rsidRDefault="00D47012">
      <w:pPr>
        <w:pStyle w:val="ListNumber"/>
        <w:tabs>
          <w:tab w:val="clear" w:pos="1296"/>
          <w:tab w:val="num" w:pos="900"/>
        </w:tabs>
        <w:ind w:hanging="936"/>
        <w:rPr>
          <w:b/>
          <w:szCs w:val="22"/>
        </w:rPr>
      </w:pPr>
      <w:r>
        <w:rPr>
          <w:b/>
          <w:szCs w:val="22"/>
        </w:rPr>
        <w:t>Number:</w:t>
      </w:r>
      <w:r>
        <w:rPr>
          <w:b/>
          <w:szCs w:val="22"/>
        </w:rPr>
        <w:tab/>
      </w:r>
      <w:r>
        <w:rPr>
          <w:szCs w:val="22"/>
        </w:rPr>
        <w:t>PRC-024-1</w:t>
      </w:r>
    </w:p>
    <w:p w:rsidR="00D47012" w:rsidRDefault="00D47012">
      <w:pPr>
        <w:pStyle w:val="ListNumber"/>
        <w:tabs>
          <w:tab w:val="clear" w:pos="1296"/>
          <w:tab w:val="num" w:pos="900"/>
        </w:tabs>
        <w:ind w:left="900" w:hanging="540"/>
        <w:rPr>
          <w:b/>
          <w:szCs w:val="22"/>
        </w:rPr>
      </w:pPr>
      <w:r>
        <w:rPr>
          <w:b/>
          <w:szCs w:val="22"/>
        </w:rPr>
        <w:t>Purpose:</w:t>
      </w:r>
      <w:r>
        <w:rPr>
          <w:b/>
          <w:szCs w:val="22"/>
        </w:rPr>
        <w:tab/>
      </w:r>
      <w:r>
        <w:rPr>
          <w:szCs w:val="22"/>
        </w:rPr>
        <w:t xml:space="preserve">Ensure generating units remain connected during frequency and voltage excursions and ensure expected generating unit performance during frequency and voltage excursions is communicated to </w:t>
      </w:r>
      <w:r w:rsidR="00061CC0">
        <w:rPr>
          <w:szCs w:val="22"/>
        </w:rPr>
        <w:t>Reliability Coordinators, Planning Coordinators, Transmission Operators and Transmission Planners</w:t>
      </w:r>
      <w:r>
        <w:rPr>
          <w:szCs w:val="22"/>
        </w:rPr>
        <w:t xml:space="preserve"> for accurate system modeling. </w:t>
      </w:r>
    </w:p>
    <w:p w:rsidR="00D47012" w:rsidRDefault="00D47012">
      <w:pPr>
        <w:pStyle w:val="ListNumber"/>
        <w:tabs>
          <w:tab w:val="left" w:pos="900"/>
        </w:tabs>
        <w:ind w:left="900" w:hanging="540"/>
        <w:rPr>
          <w:b/>
          <w:szCs w:val="22"/>
        </w:rPr>
      </w:pPr>
      <w:r>
        <w:rPr>
          <w:b/>
          <w:szCs w:val="22"/>
        </w:rPr>
        <w:t>Applicability</w:t>
      </w:r>
    </w:p>
    <w:p w:rsidR="00D47012" w:rsidRDefault="00D47012">
      <w:pPr>
        <w:pStyle w:val="ListNumber"/>
        <w:numPr>
          <w:ilvl w:val="1"/>
          <w:numId w:val="9"/>
        </w:numPr>
        <w:tabs>
          <w:tab w:val="clear" w:pos="1800"/>
          <w:tab w:val="num" w:pos="1440"/>
        </w:tabs>
        <w:ind w:left="1440" w:hanging="540"/>
        <w:rPr>
          <w:szCs w:val="22"/>
        </w:rPr>
      </w:pPr>
      <w:r>
        <w:rPr>
          <w:szCs w:val="22"/>
        </w:rPr>
        <w:t>Functional entities:</w:t>
      </w:r>
    </w:p>
    <w:p w:rsidR="00D47012" w:rsidRDefault="00D47012" w:rsidP="004C1B44">
      <w:pPr>
        <w:pStyle w:val="ListNumber"/>
        <w:numPr>
          <w:ilvl w:val="0"/>
          <w:numId w:val="0"/>
        </w:numPr>
        <w:ind w:left="1440" w:hanging="576"/>
        <w:rPr>
          <w:szCs w:val="22"/>
        </w:rPr>
      </w:pPr>
      <w:r>
        <w:rPr>
          <w:szCs w:val="22"/>
        </w:rPr>
        <w:tab/>
        <w:t>Generator Owner</w:t>
      </w:r>
    </w:p>
    <w:p w:rsidR="00D47012" w:rsidRDefault="00D47012">
      <w:pPr>
        <w:pStyle w:val="ListNumber"/>
        <w:tabs>
          <w:tab w:val="clear" w:pos="1296"/>
          <w:tab w:val="clear" w:pos="2160"/>
          <w:tab w:val="num" w:pos="900"/>
        </w:tabs>
        <w:ind w:left="900" w:hanging="540"/>
        <w:rPr>
          <w:szCs w:val="22"/>
        </w:rPr>
      </w:pPr>
      <w:r>
        <w:rPr>
          <w:b/>
          <w:szCs w:val="22"/>
        </w:rPr>
        <w:t xml:space="preserve">Effective Dates: </w:t>
      </w:r>
      <w:r>
        <w:rPr>
          <w:szCs w:val="22"/>
        </w:rPr>
        <w:t xml:space="preserve">The standard is effective the first day of the first calendar quarter after applicable regulatory approvals (or the standard otherwise becomes effective the first day of the first calendar quarter after NERC Board of Trustees adoption in those jurisdictions where regulatory approval is not required).  </w:t>
      </w:r>
    </w:p>
    <w:p w:rsidR="00D47012" w:rsidRDefault="00D47012">
      <w:pPr>
        <w:pStyle w:val="ListNumber"/>
        <w:numPr>
          <w:ilvl w:val="0"/>
          <w:numId w:val="0"/>
        </w:numPr>
        <w:tabs>
          <w:tab w:val="clear" w:pos="2160"/>
        </w:tabs>
        <w:ind w:left="900"/>
        <w:rPr>
          <w:szCs w:val="22"/>
        </w:rPr>
      </w:pPr>
      <w:r>
        <w:rPr>
          <w:szCs w:val="22"/>
        </w:rPr>
        <w:t>Each Generator Owner’s applicable unit(s) shall be compliant with the standard based on the following phased implementation schedule:</w:t>
      </w:r>
    </w:p>
    <w:p w:rsidR="00D47012" w:rsidRDefault="00D47012">
      <w:pPr>
        <w:pStyle w:val="ListNumber"/>
        <w:numPr>
          <w:ilvl w:val="1"/>
          <w:numId w:val="9"/>
        </w:numPr>
        <w:tabs>
          <w:tab w:val="clear" w:pos="1800"/>
          <w:tab w:val="clear" w:pos="2160"/>
        </w:tabs>
        <w:ind w:left="1440" w:hanging="540"/>
        <w:rPr>
          <w:szCs w:val="22"/>
        </w:rPr>
      </w:pPr>
      <w:r>
        <w:rPr>
          <w:szCs w:val="22"/>
        </w:rPr>
        <w:t>No less than 33% of a Generator Owner’s units shall be fully compliant with the standard within 1 year of the effective date of the standard.</w:t>
      </w:r>
    </w:p>
    <w:p w:rsidR="00D47012" w:rsidRDefault="00D47012">
      <w:pPr>
        <w:pStyle w:val="ListNumber"/>
        <w:numPr>
          <w:ilvl w:val="1"/>
          <w:numId w:val="9"/>
        </w:numPr>
        <w:tabs>
          <w:tab w:val="clear" w:pos="1800"/>
          <w:tab w:val="clear" w:pos="2160"/>
        </w:tabs>
        <w:ind w:left="1440" w:hanging="540"/>
        <w:rPr>
          <w:szCs w:val="22"/>
        </w:rPr>
      </w:pPr>
      <w:r>
        <w:rPr>
          <w:szCs w:val="22"/>
        </w:rPr>
        <w:t>No less than 66% of a Generator Owner’s units shall be fully compliant with the standard within 2 years of the effective date of the standard</w:t>
      </w:r>
      <w:r w:rsidR="00A55454">
        <w:rPr>
          <w:szCs w:val="22"/>
        </w:rPr>
        <w:t>.</w:t>
      </w:r>
    </w:p>
    <w:p w:rsidR="00D47012" w:rsidRDefault="00D47012">
      <w:pPr>
        <w:pStyle w:val="ListNumber"/>
        <w:numPr>
          <w:ilvl w:val="1"/>
          <w:numId w:val="9"/>
        </w:numPr>
        <w:tabs>
          <w:tab w:val="clear" w:pos="1800"/>
          <w:tab w:val="clear" w:pos="2160"/>
        </w:tabs>
        <w:ind w:left="1440" w:hanging="540"/>
        <w:rPr>
          <w:szCs w:val="22"/>
        </w:rPr>
      </w:pPr>
      <w:r>
        <w:rPr>
          <w:szCs w:val="22"/>
        </w:rPr>
        <w:t>No less than 100% of a Generator Owner’s units shall be fully compliant with the standard within 3 years of the effective date of the standard</w:t>
      </w:r>
      <w:r w:rsidR="00A55454">
        <w:rPr>
          <w:szCs w:val="22"/>
        </w:rPr>
        <w:t>.</w:t>
      </w:r>
    </w:p>
    <w:p w:rsidR="00D47012" w:rsidRDefault="00D47012">
      <w:pPr>
        <w:pStyle w:val="Section"/>
        <w:rPr>
          <w:rFonts w:cs="Arial"/>
          <w:szCs w:val="22"/>
        </w:rPr>
      </w:pPr>
      <w:r>
        <w:rPr>
          <w:rFonts w:cs="Arial"/>
          <w:szCs w:val="22"/>
        </w:rPr>
        <w:t>Requirements</w:t>
      </w:r>
    </w:p>
    <w:p w:rsidR="00D47012" w:rsidRDefault="00D47012">
      <w:pPr>
        <w:pStyle w:val="Requirement"/>
        <w:rPr>
          <w:i/>
          <w:sz w:val="22"/>
          <w:szCs w:val="22"/>
        </w:rPr>
      </w:pPr>
      <w:r>
        <w:rPr>
          <w:sz w:val="22"/>
          <w:szCs w:val="22"/>
        </w:rPr>
        <w:t>Each Generator Owner that has frequency protective relaying</w:t>
      </w:r>
      <w:r>
        <w:rPr>
          <w:rStyle w:val="FootnoteReference"/>
          <w:sz w:val="22"/>
          <w:szCs w:val="22"/>
        </w:rPr>
        <w:footnoteReference w:id="1"/>
      </w:r>
      <w:r>
        <w:rPr>
          <w:sz w:val="22"/>
          <w:szCs w:val="22"/>
        </w:rPr>
        <w:t xml:space="preserve"> activated to trip its new or existing generating unit shall set such protective relaying not to trip per the following operating conditions and relay settings unless the Generator Owner has documented and communicated a non-protection system equipment limitation in accordance with Requirement R3 for an existing generating unit</w:t>
      </w:r>
      <w:r>
        <w:rPr>
          <w:rStyle w:val="FootnoteReference"/>
          <w:sz w:val="22"/>
          <w:szCs w:val="22"/>
        </w:rPr>
        <w:footnoteReference w:id="2"/>
      </w:r>
      <w:r>
        <w:rPr>
          <w:sz w:val="22"/>
          <w:szCs w:val="22"/>
        </w:rPr>
        <w:t xml:space="preserve">:  </w:t>
      </w:r>
      <w:r>
        <w:rPr>
          <w:i/>
          <w:sz w:val="22"/>
          <w:szCs w:val="22"/>
        </w:rPr>
        <w:t xml:space="preserve"> </w:t>
      </w:r>
    </w:p>
    <w:p w:rsidR="00D47012" w:rsidRDefault="00D47012">
      <w:pPr>
        <w:pStyle w:val="Requirement"/>
        <w:numPr>
          <w:ilvl w:val="0"/>
          <w:numId w:val="0"/>
        </w:numPr>
        <w:ind w:left="960"/>
        <w:rPr>
          <w:sz w:val="22"/>
          <w:szCs w:val="22"/>
        </w:rPr>
      </w:pPr>
      <w:r w:rsidRPr="000549FC">
        <w:rPr>
          <w:i/>
          <w:sz w:val="22"/>
          <w:szCs w:val="22"/>
        </w:rPr>
        <w:t>(Violation Risk Factors: Medium ) (Time Horizon – Operations Planning)</w:t>
      </w:r>
    </w:p>
    <w:p w:rsidR="00D47012" w:rsidRDefault="00D47012">
      <w:pPr>
        <w:pStyle w:val="Requirement"/>
        <w:numPr>
          <w:ilvl w:val="1"/>
          <w:numId w:val="12"/>
        </w:numPr>
        <w:rPr>
          <w:sz w:val="22"/>
          <w:szCs w:val="22"/>
        </w:rPr>
      </w:pPr>
      <w:r>
        <w:rPr>
          <w:sz w:val="22"/>
          <w:szCs w:val="22"/>
        </w:rPr>
        <w:t>When operating within a frequency range of 59.5 Hz to 60.5 Hz, inclusive.</w:t>
      </w:r>
    </w:p>
    <w:p w:rsidR="00D47012" w:rsidRDefault="00D47012">
      <w:pPr>
        <w:pStyle w:val="Requirement"/>
        <w:numPr>
          <w:ilvl w:val="1"/>
          <w:numId w:val="12"/>
        </w:numPr>
        <w:rPr>
          <w:sz w:val="22"/>
          <w:szCs w:val="22"/>
        </w:rPr>
      </w:pPr>
      <w:r>
        <w:rPr>
          <w:sz w:val="22"/>
          <w:szCs w:val="22"/>
        </w:rPr>
        <w:t>During the off-nominal frequency excursions specified in PRC-024-1 Attachment 1.</w:t>
      </w:r>
    </w:p>
    <w:p w:rsidR="00D47012" w:rsidRDefault="00061CC0">
      <w:pPr>
        <w:pStyle w:val="Requirement"/>
        <w:numPr>
          <w:ilvl w:val="1"/>
          <w:numId w:val="12"/>
        </w:numPr>
        <w:rPr>
          <w:sz w:val="22"/>
          <w:szCs w:val="22"/>
        </w:rPr>
      </w:pPr>
      <w:r>
        <w:rPr>
          <w:sz w:val="22"/>
          <w:szCs w:val="22"/>
        </w:rPr>
        <w:t xml:space="preserve">By instantaneous </w:t>
      </w:r>
      <w:r w:rsidRPr="00061CC0">
        <w:rPr>
          <w:sz w:val="22"/>
          <w:szCs w:val="22"/>
        </w:rPr>
        <w:t xml:space="preserve"> underfrequency relay</w:t>
      </w:r>
      <w:r w:rsidR="00B47B56">
        <w:rPr>
          <w:sz w:val="22"/>
          <w:szCs w:val="22"/>
        </w:rPr>
        <w:t>s</w:t>
      </w:r>
      <w:r w:rsidRPr="00061CC0">
        <w:rPr>
          <w:sz w:val="22"/>
          <w:szCs w:val="22"/>
        </w:rPr>
        <w:t xml:space="preserve"> </w:t>
      </w:r>
      <w:r w:rsidR="00B47B56">
        <w:rPr>
          <w:sz w:val="22"/>
          <w:szCs w:val="22"/>
        </w:rPr>
        <w:t xml:space="preserve">set </w:t>
      </w:r>
      <w:r w:rsidRPr="00061CC0">
        <w:rPr>
          <w:sz w:val="22"/>
          <w:szCs w:val="22"/>
        </w:rPr>
        <w:t xml:space="preserve">at </w:t>
      </w:r>
      <w:r w:rsidR="00B47B56">
        <w:rPr>
          <w:sz w:val="22"/>
          <w:szCs w:val="22"/>
        </w:rPr>
        <w:t xml:space="preserve">a </w:t>
      </w:r>
      <w:r w:rsidRPr="00061CC0">
        <w:rPr>
          <w:sz w:val="22"/>
          <w:szCs w:val="22"/>
        </w:rPr>
        <w:t>frequency higher than 57.8 H</w:t>
      </w:r>
      <w:r>
        <w:rPr>
          <w:sz w:val="22"/>
          <w:szCs w:val="22"/>
        </w:rPr>
        <w:t>z</w:t>
      </w:r>
      <w:r w:rsidR="00D47012">
        <w:rPr>
          <w:sz w:val="22"/>
          <w:szCs w:val="22"/>
        </w:rPr>
        <w:t>.</w:t>
      </w:r>
    </w:p>
    <w:p w:rsidR="00D47012" w:rsidRDefault="00B47B56">
      <w:pPr>
        <w:pStyle w:val="Requirement"/>
        <w:numPr>
          <w:ilvl w:val="1"/>
          <w:numId w:val="12"/>
        </w:numPr>
        <w:rPr>
          <w:sz w:val="22"/>
          <w:szCs w:val="22"/>
        </w:rPr>
      </w:pPr>
      <w:r>
        <w:rPr>
          <w:sz w:val="22"/>
          <w:szCs w:val="22"/>
        </w:rPr>
        <w:lastRenderedPageBreak/>
        <w:t>By i</w:t>
      </w:r>
      <w:r w:rsidR="00D47012">
        <w:rPr>
          <w:sz w:val="22"/>
          <w:szCs w:val="22"/>
        </w:rPr>
        <w:t>nstantaneous overfrequency relay</w:t>
      </w:r>
      <w:r>
        <w:rPr>
          <w:sz w:val="22"/>
          <w:szCs w:val="22"/>
        </w:rPr>
        <w:t>s set at a frequency</w:t>
      </w:r>
      <w:r w:rsidR="00D47012">
        <w:rPr>
          <w:sz w:val="22"/>
          <w:szCs w:val="22"/>
        </w:rPr>
        <w:t xml:space="preserve"> lower than 62.2 Hz.</w:t>
      </w:r>
    </w:p>
    <w:p w:rsidR="00D47012" w:rsidRDefault="00D47012">
      <w:pPr>
        <w:pStyle w:val="Requirement"/>
        <w:numPr>
          <w:ilvl w:val="1"/>
          <w:numId w:val="12"/>
        </w:numPr>
        <w:rPr>
          <w:sz w:val="22"/>
          <w:szCs w:val="22"/>
        </w:rPr>
      </w:pPr>
      <w:r>
        <w:rPr>
          <w:sz w:val="22"/>
          <w:szCs w:val="22"/>
        </w:rPr>
        <w:t xml:space="preserve">When the transmission system frequency rate of change is less than 2.5 Hz/second with a total change of up to 1.0 Hz </w:t>
      </w:r>
    </w:p>
    <w:p w:rsidR="00D47012" w:rsidRDefault="00D47012">
      <w:pPr>
        <w:pStyle w:val="Requirement"/>
        <w:rPr>
          <w:i/>
          <w:sz w:val="22"/>
          <w:szCs w:val="22"/>
        </w:rPr>
      </w:pPr>
      <w:r>
        <w:rPr>
          <w:sz w:val="22"/>
          <w:szCs w:val="22"/>
        </w:rPr>
        <w:t>Each Generator Owner that has voltage protective relaying activated to trip its new or existing unit or</w:t>
      </w:r>
      <w:r w:rsidRPr="00D85B24">
        <w:rPr>
          <w:sz w:val="22"/>
          <w:szCs w:val="22"/>
        </w:rPr>
        <w:t xml:space="preserve"> </w:t>
      </w:r>
      <w:r>
        <w:rPr>
          <w:sz w:val="22"/>
          <w:szCs w:val="22"/>
        </w:rPr>
        <w:t>generating plant/facility shall set its protective relaying not to trip as a result of a voltage excursion at the point of interconnection, caused by an event external to the plant per the following operating conditions and relay settings unless the Generator Owner has documented and communicated a non-protection system equipment limitation in accordance with Requirement R3 for an existing unit or</w:t>
      </w:r>
      <w:r w:rsidRPr="00D85B24">
        <w:rPr>
          <w:sz w:val="22"/>
          <w:szCs w:val="22"/>
        </w:rPr>
        <w:t xml:space="preserve"> </w:t>
      </w:r>
      <w:r>
        <w:rPr>
          <w:sz w:val="22"/>
          <w:szCs w:val="22"/>
        </w:rPr>
        <w:t xml:space="preserve">generating plant/facility:  </w:t>
      </w:r>
    </w:p>
    <w:p w:rsidR="00D47012" w:rsidRDefault="00D47012">
      <w:pPr>
        <w:pStyle w:val="Requirement"/>
        <w:numPr>
          <w:ilvl w:val="0"/>
          <w:numId w:val="0"/>
        </w:numPr>
        <w:ind w:left="960"/>
        <w:rPr>
          <w:sz w:val="22"/>
          <w:szCs w:val="22"/>
        </w:rPr>
      </w:pPr>
      <w:r w:rsidRPr="000549FC">
        <w:rPr>
          <w:i/>
          <w:sz w:val="22"/>
          <w:szCs w:val="22"/>
        </w:rPr>
        <w:t>(Violation Risk Factors: Medium )</w:t>
      </w:r>
      <w:r>
        <w:rPr>
          <w:i/>
          <w:sz w:val="22"/>
          <w:szCs w:val="22"/>
        </w:rPr>
        <w:t xml:space="preserve">  (Time Horizon – Operations Planning)</w:t>
      </w:r>
    </w:p>
    <w:p w:rsidR="00D47012" w:rsidRDefault="00D47012">
      <w:pPr>
        <w:pStyle w:val="Requirement"/>
        <w:numPr>
          <w:ilvl w:val="1"/>
          <w:numId w:val="12"/>
        </w:numPr>
        <w:rPr>
          <w:sz w:val="22"/>
          <w:szCs w:val="22"/>
        </w:rPr>
      </w:pPr>
      <w:r>
        <w:rPr>
          <w:sz w:val="22"/>
          <w:szCs w:val="22"/>
        </w:rPr>
        <w:t xml:space="preserve">When operating within 95% to 105% of rated generator terminal voltage and during the </w:t>
      </w:r>
      <w:r>
        <w:rPr>
          <w:color w:val="000000"/>
          <w:sz w:val="22"/>
          <w:szCs w:val="22"/>
        </w:rPr>
        <w:t>transmission system operating conditions</w:t>
      </w:r>
      <w:r>
        <w:rPr>
          <w:sz w:val="22"/>
          <w:szCs w:val="22"/>
        </w:rPr>
        <w:t xml:space="preserve"> as defined in PRC-024-1 Attachment 2, with the following clarifications:  </w:t>
      </w:r>
    </w:p>
    <w:p w:rsidR="00D47012" w:rsidRDefault="00D47012">
      <w:pPr>
        <w:pStyle w:val="Requirement"/>
        <w:numPr>
          <w:ilvl w:val="2"/>
          <w:numId w:val="12"/>
        </w:numPr>
        <w:tabs>
          <w:tab w:val="clear" w:pos="2592"/>
          <w:tab w:val="clear" w:pos="3240"/>
        </w:tabs>
        <w:ind w:left="3000"/>
        <w:rPr>
          <w:sz w:val="22"/>
          <w:szCs w:val="22"/>
        </w:rPr>
      </w:pPr>
      <w:r>
        <w:rPr>
          <w:sz w:val="22"/>
          <w:szCs w:val="22"/>
        </w:rPr>
        <w:t xml:space="preserve">  For </w:t>
      </w:r>
      <w:bookmarkStart w:id="2" w:name="OLE_LINK5"/>
      <w:r>
        <w:rPr>
          <w:sz w:val="22"/>
          <w:szCs w:val="22"/>
        </w:rPr>
        <w:t>three-phase transmission system zone 1 faults with Normal Clearing</w:t>
      </w:r>
      <w:bookmarkEnd w:id="2"/>
      <w:r>
        <w:rPr>
          <w:sz w:val="22"/>
          <w:szCs w:val="22"/>
        </w:rPr>
        <w:t>, set voltage relays based on actual fault clearing times, not to exceed 9 cycles.</w:t>
      </w:r>
    </w:p>
    <w:p w:rsidR="00D47012" w:rsidRDefault="00D47012">
      <w:pPr>
        <w:pStyle w:val="Requirement"/>
        <w:numPr>
          <w:ilvl w:val="2"/>
          <w:numId w:val="12"/>
        </w:numPr>
        <w:tabs>
          <w:tab w:val="clear" w:pos="1728"/>
          <w:tab w:val="clear" w:pos="2592"/>
          <w:tab w:val="clear" w:pos="3240"/>
        </w:tabs>
        <w:ind w:left="3000"/>
        <w:rPr>
          <w:color w:val="000000"/>
          <w:sz w:val="22"/>
          <w:szCs w:val="22"/>
        </w:rPr>
      </w:pPr>
      <w:r>
        <w:rPr>
          <w:color w:val="000000"/>
          <w:sz w:val="22"/>
          <w:szCs w:val="22"/>
        </w:rPr>
        <w:t xml:space="preserve">  If a Transmission Planner’s study (based on the location specific voltage recovery characteristics) recommends less stringent voltage relay settings than those in PRC-024-Attachment </w:t>
      </w:r>
      <w:r w:rsidR="00243D91">
        <w:rPr>
          <w:color w:val="000000"/>
          <w:sz w:val="22"/>
          <w:szCs w:val="22"/>
        </w:rPr>
        <w:t>2</w:t>
      </w:r>
      <w:r>
        <w:rPr>
          <w:color w:val="000000"/>
          <w:sz w:val="22"/>
          <w:szCs w:val="22"/>
        </w:rPr>
        <w:t xml:space="preserve">, set voltage relays either to the Transmission Planner’s settings or the settings in PRC-024-Attachment </w:t>
      </w:r>
      <w:r w:rsidR="00243D91">
        <w:rPr>
          <w:color w:val="000000"/>
          <w:sz w:val="22"/>
          <w:szCs w:val="22"/>
        </w:rPr>
        <w:t>2</w:t>
      </w:r>
      <w:r>
        <w:rPr>
          <w:color w:val="000000"/>
          <w:sz w:val="22"/>
          <w:szCs w:val="22"/>
        </w:rPr>
        <w:t>.</w:t>
      </w:r>
    </w:p>
    <w:p w:rsidR="00D47012" w:rsidRDefault="00D47012">
      <w:pPr>
        <w:pStyle w:val="Requirement"/>
        <w:numPr>
          <w:ilvl w:val="2"/>
          <w:numId w:val="12"/>
        </w:numPr>
        <w:tabs>
          <w:tab w:val="clear" w:pos="1728"/>
          <w:tab w:val="clear" w:pos="2592"/>
          <w:tab w:val="clear" w:pos="3240"/>
        </w:tabs>
        <w:ind w:left="3000"/>
        <w:rPr>
          <w:sz w:val="22"/>
          <w:szCs w:val="22"/>
        </w:rPr>
      </w:pPr>
      <w:r>
        <w:rPr>
          <w:sz w:val="22"/>
          <w:szCs w:val="22"/>
        </w:rPr>
        <w:t xml:space="preserve">  If a Special Protection System (SPS) or Remedial Action Scheme (RAS) includes tripping a generator after fault initiation, </w:t>
      </w:r>
      <w:r w:rsidR="002A189F">
        <w:rPr>
          <w:sz w:val="22"/>
          <w:szCs w:val="22"/>
        </w:rPr>
        <w:t xml:space="preserve">then </w:t>
      </w:r>
      <w:r w:rsidR="00777E4C">
        <w:rPr>
          <w:sz w:val="22"/>
          <w:szCs w:val="22"/>
        </w:rPr>
        <w:t xml:space="preserve">the </w:t>
      </w:r>
      <w:r w:rsidR="002A189F">
        <w:rPr>
          <w:sz w:val="22"/>
          <w:szCs w:val="22"/>
        </w:rPr>
        <w:t>SPS or RAS relays may be set to trip the generator even if in the “no trip zone” in PRC-024-Attachment 2</w:t>
      </w:r>
      <w:r>
        <w:rPr>
          <w:sz w:val="22"/>
          <w:szCs w:val="22"/>
        </w:rPr>
        <w:t>.</w:t>
      </w:r>
    </w:p>
    <w:p w:rsidR="00D47012" w:rsidRDefault="00D47012" w:rsidP="00977E88">
      <w:pPr>
        <w:pStyle w:val="Requirement"/>
        <w:numPr>
          <w:ilvl w:val="2"/>
          <w:numId w:val="12"/>
        </w:numPr>
        <w:tabs>
          <w:tab w:val="clear" w:pos="1728"/>
          <w:tab w:val="clear" w:pos="2592"/>
          <w:tab w:val="clear" w:pos="3240"/>
          <w:tab w:val="left" w:pos="2880"/>
        </w:tabs>
        <w:ind w:left="3000"/>
        <w:rPr>
          <w:sz w:val="22"/>
          <w:szCs w:val="22"/>
        </w:rPr>
      </w:pPr>
      <w:r>
        <w:rPr>
          <w:sz w:val="22"/>
          <w:szCs w:val="22"/>
        </w:rPr>
        <w:t xml:space="preserve"> If clearing a system fault necessitates disconnecting a generator, </w:t>
      </w:r>
      <w:r w:rsidR="008879CB">
        <w:rPr>
          <w:sz w:val="22"/>
          <w:szCs w:val="22"/>
        </w:rPr>
        <w:t xml:space="preserve">then </w:t>
      </w:r>
      <w:r>
        <w:rPr>
          <w:sz w:val="22"/>
          <w:szCs w:val="22"/>
        </w:rPr>
        <w:t>relay</w:t>
      </w:r>
      <w:r w:rsidR="008879CB">
        <w:rPr>
          <w:sz w:val="22"/>
          <w:szCs w:val="22"/>
        </w:rPr>
        <w:t>s may be set</w:t>
      </w:r>
      <w:r>
        <w:rPr>
          <w:sz w:val="22"/>
          <w:szCs w:val="22"/>
        </w:rPr>
        <w:t xml:space="preserve"> to trip the generator even if </w:t>
      </w:r>
      <w:r w:rsidR="008879CB">
        <w:rPr>
          <w:sz w:val="22"/>
          <w:szCs w:val="22"/>
        </w:rPr>
        <w:t>in the “no trip zone”</w:t>
      </w:r>
      <w:r>
        <w:rPr>
          <w:sz w:val="22"/>
          <w:szCs w:val="22"/>
        </w:rPr>
        <w:t xml:space="preserve"> in PRC-024-Attachment </w:t>
      </w:r>
      <w:r w:rsidR="00243D91">
        <w:rPr>
          <w:sz w:val="22"/>
          <w:szCs w:val="22"/>
        </w:rPr>
        <w:t>2</w:t>
      </w:r>
      <w:r>
        <w:rPr>
          <w:sz w:val="22"/>
          <w:szCs w:val="22"/>
        </w:rPr>
        <w:t xml:space="preserve">. </w:t>
      </w:r>
    </w:p>
    <w:p w:rsidR="00D47012" w:rsidRDefault="00D47012">
      <w:pPr>
        <w:pStyle w:val="Requirement"/>
        <w:rPr>
          <w:i/>
          <w:sz w:val="22"/>
          <w:szCs w:val="22"/>
        </w:rPr>
      </w:pPr>
      <w:r>
        <w:rPr>
          <w:sz w:val="22"/>
          <w:szCs w:val="22"/>
        </w:rPr>
        <w:t xml:space="preserve">Each Generator Owner of an existing generating unit or generating plant/facility shall document any non-protection system equipment limitation that prevents compliance with Requirement R1 or R2 and communicate the documented limitation to its Reliability Coordinator, Planning Coordinator, Transmission Operator and Transmission Planner within 30 days of identifying the limitation to ensure the accuracy of planning studies and system modeling studies.  </w:t>
      </w:r>
      <w:r>
        <w:rPr>
          <w:i/>
          <w:sz w:val="22"/>
          <w:szCs w:val="22"/>
        </w:rPr>
        <w:t>(Violation Risk Factor – Lower) (Time Horizon – Operations Planning)</w:t>
      </w:r>
    </w:p>
    <w:p w:rsidR="00D47012" w:rsidRDefault="00D47012">
      <w:pPr>
        <w:pStyle w:val="Requirement"/>
        <w:numPr>
          <w:ilvl w:val="1"/>
          <w:numId w:val="12"/>
        </w:numPr>
        <w:rPr>
          <w:i/>
          <w:sz w:val="22"/>
          <w:szCs w:val="22"/>
        </w:rPr>
      </w:pPr>
      <w:r>
        <w:rPr>
          <w:sz w:val="22"/>
          <w:szCs w:val="22"/>
        </w:rPr>
        <w:t xml:space="preserve">Each Generator Owner shall provide a written response to the commenting entity within 90 calendar days of receipt of written comments from a Reliability Coordinator, Planning Coordinator, Transmission Operator or Transmission Planner regarding an equipment limitation.  </w:t>
      </w:r>
    </w:p>
    <w:p w:rsidR="00B86B24" w:rsidRDefault="00D47012">
      <w:pPr>
        <w:pStyle w:val="Requirement"/>
        <w:numPr>
          <w:ilvl w:val="0"/>
          <w:numId w:val="0"/>
        </w:numPr>
        <w:ind w:left="990"/>
        <w:rPr>
          <w:i/>
          <w:sz w:val="22"/>
          <w:szCs w:val="22"/>
        </w:rPr>
      </w:pPr>
      <w:r w:rsidRPr="00292DC3">
        <w:rPr>
          <w:sz w:val="22"/>
          <w:szCs w:val="22"/>
        </w:rPr>
        <w:t>The equipment limitation expire</w:t>
      </w:r>
      <w:r>
        <w:rPr>
          <w:sz w:val="22"/>
          <w:szCs w:val="22"/>
        </w:rPr>
        <w:t>s</w:t>
      </w:r>
      <w:r w:rsidRPr="00292DC3">
        <w:rPr>
          <w:sz w:val="22"/>
          <w:szCs w:val="22"/>
        </w:rPr>
        <w:t xml:space="preserve"> coincident with either of the following conditions:</w:t>
      </w:r>
    </w:p>
    <w:p w:rsidR="00B86B24" w:rsidRDefault="00D47012">
      <w:pPr>
        <w:pStyle w:val="Requirement"/>
        <w:numPr>
          <w:ilvl w:val="2"/>
          <w:numId w:val="27"/>
        </w:numPr>
        <w:tabs>
          <w:tab w:val="clear" w:pos="2592"/>
          <w:tab w:val="clear" w:pos="3240"/>
        </w:tabs>
        <w:ind w:left="1800" w:hanging="450"/>
        <w:rPr>
          <w:i/>
          <w:sz w:val="22"/>
          <w:szCs w:val="22"/>
        </w:rPr>
      </w:pPr>
      <w:r w:rsidRPr="00292DC3">
        <w:rPr>
          <w:sz w:val="22"/>
          <w:szCs w:val="22"/>
        </w:rPr>
        <w:t>The equipment causing the limitation is repaired or replaced with equipment that removes the limitation</w:t>
      </w:r>
    </w:p>
    <w:p w:rsidR="00B86B24" w:rsidRDefault="00D47012">
      <w:pPr>
        <w:pStyle w:val="Requirement"/>
        <w:numPr>
          <w:ilvl w:val="2"/>
          <w:numId w:val="27"/>
        </w:numPr>
        <w:tabs>
          <w:tab w:val="clear" w:pos="2592"/>
          <w:tab w:val="clear" w:pos="3240"/>
        </w:tabs>
        <w:ind w:left="1800" w:hanging="450"/>
        <w:rPr>
          <w:i/>
          <w:sz w:val="22"/>
          <w:szCs w:val="22"/>
        </w:rPr>
      </w:pPr>
      <w:r w:rsidRPr="00292DC3">
        <w:rPr>
          <w:sz w:val="22"/>
          <w:szCs w:val="22"/>
        </w:rPr>
        <w:t>The existing generating unit increases the nameplate capacity rating greater than 1</w:t>
      </w:r>
      <w:r>
        <w:rPr>
          <w:sz w:val="22"/>
          <w:szCs w:val="22"/>
        </w:rPr>
        <w:t>0</w:t>
      </w:r>
      <w:r w:rsidRPr="00292DC3">
        <w:rPr>
          <w:sz w:val="22"/>
          <w:szCs w:val="22"/>
        </w:rPr>
        <w:t>%.</w:t>
      </w:r>
      <w:r w:rsidRPr="00292DC3">
        <w:rPr>
          <w:i/>
          <w:sz w:val="22"/>
          <w:szCs w:val="22"/>
        </w:rPr>
        <w:t xml:space="preserve"> </w:t>
      </w:r>
    </w:p>
    <w:p w:rsidR="00D47012" w:rsidRDefault="00D47012">
      <w:pPr>
        <w:pStyle w:val="Requirement"/>
        <w:rPr>
          <w:i/>
          <w:sz w:val="22"/>
          <w:szCs w:val="22"/>
        </w:rPr>
      </w:pPr>
      <w:r>
        <w:rPr>
          <w:sz w:val="22"/>
          <w:szCs w:val="22"/>
        </w:rPr>
        <w:t>Each Generator Owner of an existing unit or generating plant/facility</w:t>
      </w:r>
      <w:fldSimple w:instr=" NOTEREF _Ref238636291 \f \h  \* MERGEFORMAT "/>
      <w:r>
        <w:rPr>
          <w:sz w:val="22"/>
          <w:szCs w:val="22"/>
        </w:rPr>
        <w:t xml:space="preserve"> shall provide an estimate of that unit’s performance during Frequency/Voltage Excursions to the requesting entity (Reliability </w:t>
      </w:r>
      <w:r>
        <w:rPr>
          <w:sz w:val="22"/>
          <w:szCs w:val="22"/>
        </w:rPr>
        <w:lastRenderedPageBreak/>
        <w:t>Coordinators, Planning Coordinators, Transmission Operators and Transmission Planners that monitor or model the associated unit) within 30 days of a written request</w:t>
      </w:r>
      <w:r w:rsidRPr="00027A67">
        <w:rPr>
          <w:sz w:val="22"/>
          <w:szCs w:val="22"/>
        </w:rPr>
        <w:t xml:space="preserve"> </w:t>
      </w:r>
      <w:r>
        <w:rPr>
          <w:sz w:val="22"/>
          <w:szCs w:val="22"/>
        </w:rPr>
        <w:t>to ensure the accuracy of planning studies and system modeling studies.  The documentation shall include:</w:t>
      </w:r>
      <w:r>
        <w:rPr>
          <w:i/>
          <w:sz w:val="22"/>
          <w:szCs w:val="22"/>
        </w:rPr>
        <w:t xml:space="preserve"> (Violation Risk Factors: Medium)  (Time Horizon – Operations Planning)</w:t>
      </w:r>
    </w:p>
    <w:p w:rsidR="00D47012" w:rsidRDefault="00D47012">
      <w:pPr>
        <w:pStyle w:val="Requirement"/>
        <w:numPr>
          <w:ilvl w:val="1"/>
          <w:numId w:val="12"/>
        </w:numPr>
        <w:rPr>
          <w:i/>
          <w:sz w:val="22"/>
          <w:szCs w:val="22"/>
        </w:rPr>
      </w:pPr>
      <w:r>
        <w:rPr>
          <w:sz w:val="22"/>
          <w:szCs w:val="22"/>
        </w:rPr>
        <w:t>An estimate of the time duration the existing unit or generating plant/facility will remain connected as a result of a Frequency/Voltage Excursion similar to the curves in PRC-024-Attachments 1 and 2.</w:t>
      </w:r>
    </w:p>
    <w:p w:rsidR="00D47012" w:rsidRDefault="00D47012">
      <w:pPr>
        <w:pStyle w:val="Requirement"/>
        <w:numPr>
          <w:ilvl w:val="1"/>
          <w:numId w:val="12"/>
        </w:numPr>
        <w:rPr>
          <w:i/>
          <w:sz w:val="22"/>
          <w:szCs w:val="22"/>
        </w:rPr>
      </w:pPr>
      <w:r>
        <w:rPr>
          <w:sz w:val="22"/>
          <w:szCs w:val="22"/>
        </w:rPr>
        <w:t xml:space="preserve">An estimated/approximate probability in 25% increments that the existing unit or generating plant/facility will remain connected during Frequency/Voltage Excursions similar to the curves in PRC-024-Attachments 1 and 2. </w:t>
      </w:r>
    </w:p>
    <w:p w:rsidR="00D47012" w:rsidRDefault="00D47012">
      <w:pPr>
        <w:pStyle w:val="Requirement"/>
        <w:numPr>
          <w:ilvl w:val="1"/>
          <w:numId w:val="12"/>
        </w:numPr>
        <w:rPr>
          <w:i/>
          <w:sz w:val="22"/>
          <w:szCs w:val="22"/>
        </w:rPr>
      </w:pPr>
      <w:r>
        <w:rPr>
          <w:sz w:val="22"/>
          <w:szCs w:val="22"/>
        </w:rPr>
        <w:t>Identification of whether the existing unit or generating plant/facility estimates were developed based on experience, actual event histories, sound engineering judgment, or other applicable information.</w:t>
      </w:r>
    </w:p>
    <w:p w:rsidR="00D47012" w:rsidRPr="00C32082" w:rsidRDefault="00D47012">
      <w:pPr>
        <w:pStyle w:val="Requirement"/>
        <w:rPr>
          <w:i/>
          <w:sz w:val="22"/>
          <w:szCs w:val="22"/>
        </w:rPr>
      </w:pPr>
      <w:r>
        <w:rPr>
          <w:sz w:val="22"/>
          <w:szCs w:val="22"/>
        </w:rPr>
        <w:t>Each Generator Owner shall keep its new</w:t>
      </w:r>
      <w:r>
        <w:rPr>
          <w:rStyle w:val="FootnoteReference"/>
          <w:sz w:val="22"/>
          <w:szCs w:val="22"/>
        </w:rPr>
        <w:footnoteReference w:id="3"/>
      </w:r>
      <w:r>
        <w:rPr>
          <w:sz w:val="22"/>
          <w:szCs w:val="22"/>
        </w:rPr>
        <w:t xml:space="preserve"> unit or </w:t>
      </w:r>
      <w:r w:rsidR="00583D6A">
        <w:rPr>
          <w:sz w:val="22"/>
          <w:szCs w:val="22"/>
        </w:rPr>
        <w:t xml:space="preserve">new </w:t>
      </w:r>
      <w:r>
        <w:rPr>
          <w:sz w:val="22"/>
          <w:szCs w:val="22"/>
        </w:rPr>
        <w:t xml:space="preserve">generating plant/facility connected </w:t>
      </w:r>
      <w:r w:rsidR="00324ACE">
        <w:rPr>
          <w:sz w:val="22"/>
          <w:szCs w:val="22"/>
        </w:rPr>
        <w:t>following</w:t>
      </w:r>
      <w:r>
        <w:rPr>
          <w:sz w:val="22"/>
          <w:szCs w:val="22"/>
        </w:rPr>
        <w:t xml:space="preserve"> a Frequency</w:t>
      </w:r>
      <w:r w:rsidR="00324ACE">
        <w:rPr>
          <w:sz w:val="22"/>
          <w:szCs w:val="22"/>
        </w:rPr>
        <w:t xml:space="preserve"> Excursion or </w:t>
      </w:r>
      <w:r>
        <w:rPr>
          <w:sz w:val="22"/>
          <w:szCs w:val="22"/>
        </w:rPr>
        <w:t>Voltage Excursion at the Point of Interconnection, caused by an event external to the plant, within the parameters set forth in PRC-024-Attachment 1 and Attachment 2 and in accordance with the following conditions and exceptions</w:t>
      </w:r>
      <w:r w:rsidRPr="00C32082">
        <w:rPr>
          <w:sz w:val="22"/>
          <w:szCs w:val="22"/>
        </w:rPr>
        <w:t xml:space="preserve">:  </w:t>
      </w:r>
    </w:p>
    <w:p w:rsidR="00D47012" w:rsidRPr="00C32082" w:rsidRDefault="00DA3634">
      <w:pPr>
        <w:pStyle w:val="Requirement"/>
        <w:numPr>
          <w:ilvl w:val="0"/>
          <w:numId w:val="0"/>
        </w:numPr>
        <w:ind w:left="936"/>
        <w:rPr>
          <w:i/>
          <w:sz w:val="22"/>
          <w:szCs w:val="22"/>
        </w:rPr>
      </w:pPr>
      <w:r w:rsidRPr="00DA3634">
        <w:rPr>
          <w:i/>
          <w:sz w:val="22"/>
          <w:szCs w:val="22"/>
        </w:rPr>
        <w:t>(Violation Risk Factor: Medium)</w:t>
      </w:r>
      <w:r w:rsidR="00D47012" w:rsidRPr="00C32082">
        <w:rPr>
          <w:i/>
          <w:sz w:val="22"/>
          <w:szCs w:val="22"/>
        </w:rPr>
        <w:t xml:space="preserve"> (Time Horizon – Real-Time) </w:t>
      </w:r>
    </w:p>
    <w:p w:rsidR="00D47012" w:rsidRPr="00C32082" w:rsidRDefault="00D47012">
      <w:pPr>
        <w:pStyle w:val="Requirement"/>
        <w:numPr>
          <w:ilvl w:val="1"/>
          <w:numId w:val="12"/>
        </w:numPr>
        <w:rPr>
          <w:sz w:val="22"/>
          <w:szCs w:val="22"/>
        </w:rPr>
      </w:pPr>
      <w:r w:rsidRPr="00C32082">
        <w:rPr>
          <w:sz w:val="22"/>
          <w:szCs w:val="22"/>
        </w:rPr>
        <w:t>When the unit or generating plant/facility is operating at or above the minimum sustainable generation.</w:t>
      </w:r>
    </w:p>
    <w:p w:rsidR="00D47012" w:rsidRPr="00C32082" w:rsidRDefault="00D47012">
      <w:pPr>
        <w:pStyle w:val="Requirement"/>
        <w:numPr>
          <w:ilvl w:val="2"/>
          <w:numId w:val="12"/>
        </w:numPr>
        <w:tabs>
          <w:tab w:val="clear" w:pos="1728"/>
          <w:tab w:val="clear" w:pos="2592"/>
          <w:tab w:val="clear" w:pos="3240"/>
        </w:tabs>
        <w:ind w:left="3000"/>
        <w:rPr>
          <w:i/>
          <w:sz w:val="22"/>
          <w:szCs w:val="22"/>
        </w:rPr>
      </w:pPr>
      <w:r w:rsidRPr="00C32082">
        <w:rPr>
          <w:sz w:val="22"/>
          <w:szCs w:val="22"/>
        </w:rPr>
        <w:t xml:space="preserve">  For a generating plant/facility consisting of multiple units with total generation &gt; 75 MVA (gross aggregate nameplate rating), when the facility is producing at least 20% of the facility’s rated capacity and the voltage support equipment is in service. </w:t>
      </w:r>
    </w:p>
    <w:p w:rsidR="00D47012" w:rsidRDefault="00D47012">
      <w:pPr>
        <w:pStyle w:val="Requirement"/>
        <w:numPr>
          <w:ilvl w:val="1"/>
          <w:numId w:val="12"/>
        </w:numPr>
        <w:tabs>
          <w:tab w:val="clear" w:pos="2592"/>
          <w:tab w:val="clear" w:pos="3240"/>
        </w:tabs>
        <w:rPr>
          <w:i/>
          <w:sz w:val="22"/>
          <w:szCs w:val="22"/>
        </w:rPr>
      </w:pPr>
      <w:r>
        <w:rPr>
          <w:sz w:val="22"/>
          <w:szCs w:val="22"/>
        </w:rPr>
        <w:t xml:space="preserve">For a new generating plant/facility consisting of multiple units less than 20 MVA each with total facility generation &gt; 75 MVA (gross aggregate nameplate rating), at least 90% of the individual generating units shall remain connected. </w:t>
      </w:r>
    </w:p>
    <w:p w:rsidR="00D47012" w:rsidRDefault="00D47012">
      <w:pPr>
        <w:pStyle w:val="Requirement"/>
        <w:numPr>
          <w:ilvl w:val="1"/>
          <w:numId w:val="12"/>
        </w:numPr>
        <w:rPr>
          <w:sz w:val="22"/>
          <w:szCs w:val="22"/>
        </w:rPr>
      </w:pPr>
      <w:r>
        <w:rPr>
          <w:sz w:val="22"/>
          <w:szCs w:val="22"/>
        </w:rPr>
        <w:t xml:space="preserve">A </w:t>
      </w:r>
      <w:r w:rsidRPr="00C32082">
        <w:rPr>
          <w:sz w:val="22"/>
          <w:szCs w:val="22"/>
        </w:rPr>
        <w:t>unit or generating plant/facility</w:t>
      </w:r>
      <w:r>
        <w:rPr>
          <w:sz w:val="22"/>
          <w:szCs w:val="22"/>
        </w:rPr>
        <w:t xml:space="preserve"> may operate to a less stringent voltage ride-through performance criterion than the duration curve based on the location specific voltage recovery characteristics as specified by the Transmission Planner.</w:t>
      </w:r>
    </w:p>
    <w:p w:rsidR="00D47012" w:rsidRDefault="00D47012">
      <w:pPr>
        <w:pStyle w:val="Requirement"/>
        <w:numPr>
          <w:ilvl w:val="1"/>
          <w:numId w:val="12"/>
        </w:numPr>
        <w:rPr>
          <w:sz w:val="22"/>
          <w:szCs w:val="22"/>
        </w:rPr>
      </w:pPr>
      <w:r>
        <w:rPr>
          <w:sz w:val="22"/>
          <w:szCs w:val="22"/>
        </w:rPr>
        <w:t xml:space="preserve">A </w:t>
      </w:r>
      <w:r w:rsidRPr="00C32082">
        <w:rPr>
          <w:sz w:val="22"/>
          <w:szCs w:val="22"/>
        </w:rPr>
        <w:t>unit or generating plant/facility</w:t>
      </w:r>
      <w:r>
        <w:rPr>
          <w:sz w:val="22"/>
          <w:szCs w:val="22"/>
        </w:rPr>
        <w:t xml:space="preserve"> may trip if this action is designed as part of a Special Protection System (SPS) or Remedial Action Scheme (RAS).</w:t>
      </w:r>
    </w:p>
    <w:p w:rsidR="00D47012" w:rsidRDefault="00D47012">
      <w:pPr>
        <w:pStyle w:val="Requirement"/>
        <w:numPr>
          <w:ilvl w:val="1"/>
          <w:numId w:val="12"/>
        </w:numPr>
        <w:rPr>
          <w:sz w:val="22"/>
          <w:szCs w:val="22"/>
        </w:rPr>
      </w:pPr>
      <w:r>
        <w:rPr>
          <w:sz w:val="22"/>
          <w:szCs w:val="22"/>
        </w:rPr>
        <w:t xml:space="preserve">A </w:t>
      </w:r>
      <w:r w:rsidRPr="00C32082">
        <w:rPr>
          <w:sz w:val="22"/>
          <w:szCs w:val="22"/>
        </w:rPr>
        <w:t>unit or generating plant/facility</w:t>
      </w:r>
      <w:r>
        <w:rPr>
          <w:sz w:val="22"/>
          <w:szCs w:val="22"/>
        </w:rPr>
        <w:t xml:space="preserve"> may trip if clearing a system fault necessitates disconnecting the </w:t>
      </w:r>
      <w:r w:rsidRPr="00C32082">
        <w:rPr>
          <w:sz w:val="22"/>
          <w:szCs w:val="22"/>
        </w:rPr>
        <w:t>unit or generating plant/facility</w:t>
      </w:r>
      <w:r>
        <w:rPr>
          <w:sz w:val="22"/>
          <w:szCs w:val="22"/>
        </w:rPr>
        <w:t>.</w:t>
      </w:r>
    </w:p>
    <w:p w:rsidR="00D47012" w:rsidRDefault="00D47012">
      <w:pPr>
        <w:pStyle w:val="Requirement"/>
        <w:numPr>
          <w:ilvl w:val="1"/>
          <w:numId w:val="12"/>
        </w:numPr>
        <w:rPr>
          <w:sz w:val="22"/>
          <w:szCs w:val="22"/>
        </w:rPr>
      </w:pPr>
      <w:r>
        <w:rPr>
          <w:sz w:val="22"/>
          <w:szCs w:val="22"/>
        </w:rPr>
        <w:t xml:space="preserve">A </w:t>
      </w:r>
      <w:r w:rsidRPr="00C32082">
        <w:rPr>
          <w:sz w:val="22"/>
          <w:szCs w:val="22"/>
        </w:rPr>
        <w:t>unit or generating plant/facility</w:t>
      </w:r>
      <w:r>
        <w:rPr>
          <w:sz w:val="22"/>
          <w:szCs w:val="22"/>
        </w:rPr>
        <w:t xml:space="preserve"> may trip if the Generator Owner has a temporary exemption granted by its Reliability Coordinator based on a documented equipment limitation.</w:t>
      </w:r>
    </w:p>
    <w:p w:rsidR="00D47012" w:rsidRDefault="00D47012">
      <w:pPr>
        <w:pStyle w:val="Requirement"/>
        <w:numPr>
          <w:ilvl w:val="1"/>
          <w:numId w:val="12"/>
        </w:numPr>
        <w:rPr>
          <w:sz w:val="22"/>
          <w:szCs w:val="22"/>
        </w:rPr>
      </w:pPr>
      <w:r>
        <w:rPr>
          <w:sz w:val="22"/>
          <w:szCs w:val="22"/>
        </w:rPr>
        <w:t>A unit or generating plant/facility may trip due to loss of synchronism or impending loss of synchronism.</w:t>
      </w:r>
    </w:p>
    <w:p w:rsidR="00D47012" w:rsidRDefault="00D47012">
      <w:pPr>
        <w:pStyle w:val="Requirement"/>
        <w:rPr>
          <w:i/>
          <w:sz w:val="22"/>
          <w:szCs w:val="22"/>
        </w:rPr>
      </w:pPr>
      <w:r>
        <w:rPr>
          <w:sz w:val="22"/>
          <w:szCs w:val="22"/>
        </w:rPr>
        <w:lastRenderedPageBreak/>
        <w:t>Each Generator Owner shall provide to the Reliability Coordinators, Planning Coordinators, Transmission Operators and Transmission Planners (that monitor or model the associated unit) its generator protection trip settings as specified by Requirements R1 and R2, and documented equipment limitations as specified by Requirement R3 within 30 calendar days of any change to those trip settings or limitations, and shall provide the requesting entity the trip settings or limitations within 30 calendar days of a written request for the data</w:t>
      </w:r>
      <w:r w:rsidRPr="009C124F">
        <w:rPr>
          <w:sz w:val="22"/>
          <w:szCs w:val="22"/>
        </w:rPr>
        <w:t xml:space="preserve"> </w:t>
      </w:r>
      <w:r>
        <w:rPr>
          <w:sz w:val="22"/>
          <w:szCs w:val="22"/>
        </w:rPr>
        <w:t xml:space="preserve">to ensure the accuracy of planning studies and system modeling studies.  </w:t>
      </w:r>
      <w:r>
        <w:rPr>
          <w:i/>
          <w:sz w:val="22"/>
          <w:szCs w:val="22"/>
        </w:rPr>
        <w:t>(Violation Risk Factor – Lower) (Time Horizon – Operations Planning)</w:t>
      </w:r>
    </w:p>
    <w:p w:rsidR="00D47012" w:rsidRDefault="00D47012" w:rsidP="00B05550">
      <w:pPr>
        <w:pStyle w:val="Requirement"/>
        <w:numPr>
          <w:ilvl w:val="0"/>
          <w:numId w:val="0"/>
        </w:numPr>
        <w:tabs>
          <w:tab w:val="clear" w:pos="2592"/>
          <w:tab w:val="clear" w:pos="3240"/>
        </w:tabs>
        <w:ind w:left="1080"/>
        <w:rPr>
          <w:sz w:val="22"/>
          <w:szCs w:val="22"/>
        </w:rPr>
      </w:pPr>
    </w:p>
    <w:p w:rsidR="00D47012" w:rsidRDefault="00D47012">
      <w:pPr>
        <w:pStyle w:val="Section"/>
        <w:rPr>
          <w:szCs w:val="22"/>
        </w:rPr>
      </w:pPr>
      <w:r>
        <w:rPr>
          <w:szCs w:val="22"/>
        </w:rPr>
        <w:t>Measures</w:t>
      </w:r>
    </w:p>
    <w:p w:rsidR="00D47012" w:rsidRDefault="00D47012">
      <w:pPr>
        <w:pStyle w:val="Measure"/>
        <w:tabs>
          <w:tab w:val="clear" w:pos="2592"/>
          <w:tab w:val="clear" w:pos="3240"/>
        </w:tabs>
        <w:rPr>
          <w:sz w:val="22"/>
          <w:szCs w:val="22"/>
        </w:rPr>
      </w:pPr>
      <w:r>
        <w:rPr>
          <w:sz w:val="22"/>
          <w:szCs w:val="22"/>
        </w:rPr>
        <w:t>Each Generator Owner has evidence such as setting sheets, calibration sheets, or other documentation, that generator frequency protective relays have been set in accordance with Requirement R1.  Each Generator Owner of an existing generating unit that is unable to comply with Requirement R1 due to equipment limitations (Protection System excluded) has evidence or other documentation that explains the equipment limitation of the unit(s).</w:t>
      </w:r>
    </w:p>
    <w:p w:rsidR="00D47012" w:rsidRDefault="00D47012">
      <w:pPr>
        <w:pStyle w:val="Measure"/>
        <w:tabs>
          <w:tab w:val="clear" w:pos="2592"/>
          <w:tab w:val="clear" w:pos="3240"/>
        </w:tabs>
        <w:rPr>
          <w:sz w:val="22"/>
          <w:szCs w:val="22"/>
        </w:rPr>
      </w:pPr>
      <w:r>
        <w:rPr>
          <w:sz w:val="22"/>
          <w:szCs w:val="22"/>
        </w:rPr>
        <w:t xml:space="preserve">Each Generator Owner has evidence such as setting sheets, voltage-time curves, calibration sheets, coordination plots or dynamic simulation studies, that generator voltage protective relays have been set in accordance with Requirement R2.  Each Generator Owner of an existing generating unit that is unable to comply with Requirement R2 due to equipment limitations (Protection System excluded) has evidence or other documentation that explains the equipment limitation of the unit(s).       </w:t>
      </w:r>
    </w:p>
    <w:p w:rsidR="00D47012" w:rsidRDefault="00D47012">
      <w:pPr>
        <w:pStyle w:val="Measure"/>
        <w:tabs>
          <w:tab w:val="clear" w:pos="2592"/>
          <w:tab w:val="clear" w:pos="3240"/>
        </w:tabs>
        <w:rPr>
          <w:sz w:val="22"/>
          <w:szCs w:val="22"/>
        </w:rPr>
      </w:pPr>
      <w:r>
        <w:rPr>
          <w:sz w:val="22"/>
          <w:szCs w:val="22"/>
        </w:rPr>
        <w:t>Each Generator Owner has evidence that it has documented and communicated any equipment limitation(s) that resulted in an exception to Requirements R1 or R2 in accordance with Requirement R3</w:t>
      </w:r>
      <w:r w:rsidR="00143F33">
        <w:rPr>
          <w:sz w:val="22"/>
          <w:szCs w:val="22"/>
        </w:rPr>
        <w:t xml:space="preserve"> such as a dated email or letter that contain such documentation as study results, experience from an actual event, or manufacturers’ advisory</w:t>
      </w:r>
      <w:r>
        <w:rPr>
          <w:sz w:val="22"/>
          <w:szCs w:val="22"/>
        </w:rPr>
        <w:t>.</w:t>
      </w:r>
    </w:p>
    <w:p w:rsidR="00D47012" w:rsidRDefault="00D47012">
      <w:pPr>
        <w:pStyle w:val="Measure"/>
        <w:tabs>
          <w:tab w:val="clear" w:pos="2592"/>
          <w:tab w:val="clear" w:pos="3240"/>
        </w:tabs>
        <w:rPr>
          <w:sz w:val="22"/>
          <w:szCs w:val="22"/>
        </w:rPr>
      </w:pPr>
      <w:r>
        <w:rPr>
          <w:sz w:val="22"/>
          <w:szCs w:val="22"/>
        </w:rPr>
        <w:t xml:space="preserve">Each Generator Owner has evidence such as dated e-mails, mail receipts or other documentation that an estimate(s) of the performance of its existing generating unit(s) as a result of </w:t>
      </w:r>
      <w:r>
        <w:rPr>
          <w:color w:val="000000"/>
          <w:sz w:val="22"/>
          <w:szCs w:val="22"/>
        </w:rPr>
        <w:t>Frequency/Voltage Excursions</w:t>
      </w:r>
      <w:r>
        <w:rPr>
          <w:sz w:val="22"/>
          <w:szCs w:val="22"/>
        </w:rPr>
        <w:t xml:space="preserve"> has been communicated in accordance with Requirement R4. </w:t>
      </w:r>
    </w:p>
    <w:p w:rsidR="00D47012" w:rsidRDefault="00D47012">
      <w:pPr>
        <w:pStyle w:val="Measure"/>
        <w:tabs>
          <w:tab w:val="clear" w:pos="2592"/>
          <w:tab w:val="clear" w:pos="3240"/>
        </w:tabs>
        <w:rPr>
          <w:sz w:val="22"/>
          <w:szCs w:val="22"/>
        </w:rPr>
      </w:pPr>
      <w:r>
        <w:rPr>
          <w:color w:val="000000"/>
          <w:sz w:val="22"/>
          <w:szCs w:val="22"/>
        </w:rPr>
        <w:t xml:space="preserve">Each Generator Owner has evidence such as unit output records, trip investigation reports or disturbance monitoring records that its new generating units/facilities did not trip during a Frequency/Voltage Excursion in </w:t>
      </w:r>
      <w:r>
        <w:rPr>
          <w:sz w:val="22"/>
          <w:szCs w:val="22"/>
        </w:rPr>
        <w:t xml:space="preserve">accordance with Requirement R5.  </w:t>
      </w:r>
    </w:p>
    <w:p w:rsidR="00D47012" w:rsidRDefault="00D47012">
      <w:pPr>
        <w:pStyle w:val="Measure"/>
        <w:tabs>
          <w:tab w:val="clear" w:pos="2592"/>
          <w:tab w:val="clear" w:pos="3240"/>
        </w:tabs>
        <w:rPr>
          <w:sz w:val="22"/>
          <w:szCs w:val="22"/>
        </w:rPr>
      </w:pPr>
      <w:r>
        <w:rPr>
          <w:sz w:val="22"/>
          <w:szCs w:val="22"/>
        </w:rPr>
        <w:t>Each Generator Owner has evidence such as dated e-mails, mail receipts or other evidence that it communicated generator protective relay settings or equipment limitations to a requesting entity within 30 calendar days of a request or change in setting(s) in accordance with Requirement R6.</w:t>
      </w:r>
    </w:p>
    <w:p w:rsidR="00D47012" w:rsidRDefault="00D47012">
      <w:pPr>
        <w:pStyle w:val="ListNumber"/>
        <w:numPr>
          <w:ilvl w:val="0"/>
          <w:numId w:val="10"/>
        </w:numPr>
        <w:tabs>
          <w:tab w:val="num" w:pos="1800"/>
        </w:tabs>
        <w:spacing w:before="120"/>
        <w:ind w:left="360"/>
        <w:rPr>
          <w:rFonts w:ascii="Arial" w:hAnsi="Arial" w:cs="Arial"/>
          <w:b/>
          <w:sz w:val="24"/>
        </w:rPr>
      </w:pPr>
      <w:r>
        <w:rPr>
          <w:rFonts w:ascii="Arial" w:hAnsi="Arial" w:cs="Arial"/>
          <w:b/>
          <w:sz w:val="24"/>
        </w:rPr>
        <w:t>Compliance</w:t>
      </w:r>
    </w:p>
    <w:p w:rsidR="00D47012" w:rsidRDefault="00D47012">
      <w:pPr>
        <w:ind w:left="720"/>
        <w:rPr>
          <w:b/>
        </w:rPr>
      </w:pPr>
      <w:r>
        <w:rPr>
          <w:b/>
        </w:rPr>
        <w:t>1.</w:t>
      </w:r>
      <w:r>
        <w:rPr>
          <w:b/>
        </w:rPr>
        <w:tab/>
        <w:t>Compliance Monitoring Process</w:t>
      </w:r>
    </w:p>
    <w:p w:rsidR="00D47012" w:rsidRDefault="00D47012">
      <w:pPr>
        <w:pStyle w:val="ListNumber"/>
        <w:numPr>
          <w:ilvl w:val="2"/>
          <w:numId w:val="10"/>
        </w:numPr>
        <w:tabs>
          <w:tab w:val="num" w:pos="1980"/>
          <w:tab w:val="left" w:pos="2160"/>
        </w:tabs>
        <w:spacing w:before="120"/>
        <w:ind w:hanging="720"/>
        <w:rPr>
          <w:sz w:val="24"/>
        </w:rPr>
      </w:pPr>
      <w:r>
        <w:rPr>
          <w:b/>
          <w:sz w:val="24"/>
        </w:rPr>
        <w:t>Compliance Enforcement Authority</w:t>
      </w:r>
    </w:p>
    <w:p w:rsidR="00D47012" w:rsidRDefault="00D47012">
      <w:pPr>
        <w:pStyle w:val="ListNumber"/>
        <w:numPr>
          <w:ilvl w:val="0"/>
          <w:numId w:val="0"/>
        </w:numPr>
        <w:ind w:left="2700" w:hanging="720"/>
        <w:rPr>
          <w:sz w:val="24"/>
        </w:rPr>
      </w:pPr>
      <w:r>
        <w:rPr>
          <w:sz w:val="24"/>
        </w:rPr>
        <w:t>Regional Entity</w:t>
      </w:r>
    </w:p>
    <w:p w:rsidR="00D47012" w:rsidRDefault="00D47012">
      <w:pPr>
        <w:pStyle w:val="ListNumber"/>
        <w:numPr>
          <w:ilvl w:val="2"/>
          <w:numId w:val="10"/>
        </w:numPr>
        <w:tabs>
          <w:tab w:val="clear" w:pos="2160"/>
        </w:tabs>
        <w:ind w:left="1980" w:hanging="540"/>
        <w:rPr>
          <w:b/>
          <w:sz w:val="24"/>
        </w:rPr>
      </w:pPr>
      <w:r>
        <w:rPr>
          <w:b/>
          <w:sz w:val="24"/>
        </w:rPr>
        <w:t>Compliance Monitoring and Enforcement Processes:</w:t>
      </w:r>
    </w:p>
    <w:p w:rsidR="00D47012" w:rsidRDefault="00D47012">
      <w:pPr>
        <w:pStyle w:val="ListNumber"/>
        <w:numPr>
          <w:ilvl w:val="0"/>
          <w:numId w:val="0"/>
        </w:numPr>
        <w:ind w:left="2700" w:hanging="720"/>
        <w:rPr>
          <w:sz w:val="24"/>
        </w:rPr>
      </w:pPr>
      <w:r>
        <w:rPr>
          <w:sz w:val="24"/>
        </w:rPr>
        <w:t>Compliance Audits</w:t>
      </w:r>
    </w:p>
    <w:p w:rsidR="00D47012" w:rsidRDefault="00D47012">
      <w:pPr>
        <w:pStyle w:val="ListNumber"/>
        <w:numPr>
          <w:ilvl w:val="0"/>
          <w:numId w:val="0"/>
        </w:numPr>
        <w:ind w:left="2700" w:hanging="720"/>
        <w:rPr>
          <w:sz w:val="24"/>
        </w:rPr>
      </w:pPr>
      <w:r>
        <w:rPr>
          <w:sz w:val="24"/>
        </w:rPr>
        <w:lastRenderedPageBreak/>
        <w:t>Self-Certifications</w:t>
      </w:r>
    </w:p>
    <w:p w:rsidR="00D47012" w:rsidRDefault="00D47012">
      <w:pPr>
        <w:pStyle w:val="ListNumber"/>
        <w:numPr>
          <w:ilvl w:val="0"/>
          <w:numId w:val="0"/>
        </w:numPr>
        <w:ind w:left="2700" w:hanging="720"/>
        <w:rPr>
          <w:sz w:val="24"/>
        </w:rPr>
      </w:pPr>
      <w:r>
        <w:rPr>
          <w:sz w:val="24"/>
        </w:rPr>
        <w:t>Spot Checking</w:t>
      </w:r>
    </w:p>
    <w:p w:rsidR="00D47012" w:rsidRDefault="00D47012">
      <w:pPr>
        <w:pStyle w:val="ListNumber"/>
        <w:numPr>
          <w:ilvl w:val="0"/>
          <w:numId w:val="0"/>
        </w:numPr>
        <w:ind w:left="2700" w:hanging="720"/>
        <w:rPr>
          <w:sz w:val="24"/>
        </w:rPr>
      </w:pPr>
      <w:r>
        <w:rPr>
          <w:sz w:val="24"/>
        </w:rPr>
        <w:t>Compliance Violation Investigations</w:t>
      </w:r>
    </w:p>
    <w:p w:rsidR="00D47012" w:rsidRDefault="00D47012">
      <w:pPr>
        <w:pStyle w:val="ListNumber"/>
        <w:numPr>
          <w:ilvl w:val="0"/>
          <w:numId w:val="0"/>
        </w:numPr>
        <w:ind w:left="2700" w:hanging="720"/>
        <w:rPr>
          <w:sz w:val="24"/>
        </w:rPr>
      </w:pPr>
      <w:r>
        <w:rPr>
          <w:sz w:val="24"/>
        </w:rPr>
        <w:t>Self-Reporting</w:t>
      </w:r>
    </w:p>
    <w:p w:rsidR="00D47012" w:rsidRDefault="00D47012">
      <w:pPr>
        <w:pStyle w:val="ListNumber"/>
        <w:numPr>
          <w:ilvl w:val="0"/>
          <w:numId w:val="0"/>
        </w:numPr>
        <w:ind w:left="2700" w:hanging="720"/>
        <w:rPr>
          <w:sz w:val="24"/>
        </w:rPr>
      </w:pPr>
      <w:r>
        <w:rPr>
          <w:sz w:val="24"/>
        </w:rPr>
        <w:t>Complaints</w:t>
      </w:r>
    </w:p>
    <w:p w:rsidR="00D47012" w:rsidRDefault="00D47012">
      <w:pPr>
        <w:pStyle w:val="ListNumber"/>
        <w:numPr>
          <w:ilvl w:val="2"/>
          <w:numId w:val="10"/>
        </w:numPr>
        <w:tabs>
          <w:tab w:val="clear" w:pos="2160"/>
        </w:tabs>
        <w:ind w:left="1980" w:hanging="540"/>
        <w:rPr>
          <w:b/>
          <w:sz w:val="24"/>
        </w:rPr>
      </w:pPr>
      <w:r>
        <w:rPr>
          <w:b/>
          <w:sz w:val="24"/>
        </w:rPr>
        <w:t>Data Retention</w:t>
      </w:r>
    </w:p>
    <w:p w:rsidR="00B86B24" w:rsidRDefault="005308E9">
      <w:pPr>
        <w:pStyle w:val="ListNumber"/>
        <w:numPr>
          <w:ilvl w:val="0"/>
          <w:numId w:val="0"/>
        </w:numPr>
        <w:tabs>
          <w:tab w:val="clear" w:pos="2160"/>
        </w:tabs>
        <w:ind w:left="1440"/>
        <w:rPr>
          <w:sz w:val="24"/>
        </w:rPr>
      </w:pPr>
      <w:r w:rsidRPr="005308E9">
        <w:rPr>
          <w:sz w:val="24"/>
        </w:rPr>
        <w:t xml:space="preserve">The </w:t>
      </w:r>
      <w:r w:rsidR="00F84113">
        <w:rPr>
          <w:sz w:val="24"/>
        </w:rPr>
        <w:t>Generator</w:t>
      </w:r>
      <w:r w:rsidRPr="005308E9">
        <w:rPr>
          <w:sz w:val="24"/>
        </w:rPr>
        <w:t xml:space="preserve"> Owner shall keep data or evidence to show compliance as identified</w:t>
      </w:r>
      <w:r>
        <w:rPr>
          <w:sz w:val="24"/>
        </w:rPr>
        <w:t xml:space="preserve"> </w:t>
      </w:r>
      <w:r w:rsidRPr="005308E9">
        <w:rPr>
          <w:sz w:val="24"/>
        </w:rPr>
        <w:t>below unless directed by its Compliance Enforcement Authority to retain specific</w:t>
      </w:r>
      <w:r>
        <w:rPr>
          <w:sz w:val="24"/>
        </w:rPr>
        <w:t xml:space="preserve"> </w:t>
      </w:r>
      <w:r w:rsidRPr="005308E9">
        <w:rPr>
          <w:sz w:val="24"/>
        </w:rPr>
        <w:t>evidence for a longer period of time as part of an investigation:</w:t>
      </w:r>
    </w:p>
    <w:p w:rsidR="00D47012" w:rsidRDefault="00D47012" w:rsidP="005308E9">
      <w:pPr>
        <w:numPr>
          <w:ilvl w:val="3"/>
          <w:numId w:val="10"/>
        </w:numPr>
        <w:tabs>
          <w:tab w:val="clear" w:pos="2880"/>
        </w:tabs>
        <w:spacing w:after="120"/>
        <w:ind w:left="2700" w:hanging="180"/>
      </w:pPr>
      <w:r>
        <w:t>The Generator Owner shall retain</w:t>
      </w:r>
      <w:r w:rsidR="005308E9">
        <w:t xml:space="preserve"> and have always available,</w:t>
      </w:r>
      <w:r>
        <w:t xml:space="preserve"> its current, in force document</w:t>
      </w:r>
      <w:r w:rsidR="005308E9">
        <w:t>(s) for Requirements R1 through R4</w:t>
      </w:r>
      <w:r w:rsidR="00F84113">
        <w:t xml:space="preserve"> and Measures M1 through M4</w:t>
      </w:r>
      <w:r>
        <w:t xml:space="preserve">. </w:t>
      </w:r>
    </w:p>
    <w:p w:rsidR="005308E9" w:rsidRDefault="005308E9" w:rsidP="005308E9">
      <w:pPr>
        <w:numPr>
          <w:ilvl w:val="3"/>
          <w:numId w:val="10"/>
        </w:numPr>
        <w:tabs>
          <w:tab w:val="clear" w:pos="2880"/>
        </w:tabs>
        <w:spacing w:after="120"/>
        <w:ind w:left="2700" w:hanging="180"/>
      </w:pPr>
      <w:r>
        <w:t xml:space="preserve">The Generator Owner shall retain </w:t>
      </w:r>
      <w:r w:rsidR="00F84113">
        <w:t xml:space="preserve">the </w:t>
      </w:r>
      <w:r>
        <w:t>document</w:t>
      </w:r>
      <w:r w:rsidR="00F84113">
        <w:t>ation</w:t>
      </w:r>
      <w:r>
        <w:t xml:space="preserve"> since the last compliance audit for Requirement</w:t>
      </w:r>
      <w:r w:rsidR="00F84113">
        <w:t>s</w:t>
      </w:r>
      <w:r>
        <w:t xml:space="preserve"> R5 and R6</w:t>
      </w:r>
      <w:r w:rsidR="00F84113">
        <w:t xml:space="preserve"> and Measures M5 and M6</w:t>
      </w:r>
      <w:r>
        <w:t>.</w:t>
      </w:r>
    </w:p>
    <w:p w:rsidR="00B86B24" w:rsidRDefault="00D47012">
      <w:pPr>
        <w:pStyle w:val="ListBullet2"/>
        <w:numPr>
          <w:ilvl w:val="3"/>
          <w:numId w:val="10"/>
        </w:numPr>
        <w:tabs>
          <w:tab w:val="clear" w:pos="2880"/>
        </w:tabs>
        <w:ind w:left="2700" w:hanging="180"/>
      </w:pPr>
      <w:r>
        <w:t xml:space="preserve">If a Generator Owner is found non-compliant, it shall keep information related to the non-compliance until found compliant or for the duration specified above, whichever is longer. </w:t>
      </w:r>
    </w:p>
    <w:p w:rsidR="00B86B24" w:rsidRDefault="00D47012">
      <w:pPr>
        <w:pStyle w:val="ListBullet2"/>
        <w:numPr>
          <w:ilvl w:val="3"/>
          <w:numId w:val="10"/>
        </w:numPr>
        <w:tabs>
          <w:tab w:val="clear" w:pos="2880"/>
        </w:tabs>
        <w:ind w:left="2700" w:hanging="180"/>
      </w:pPr>
      <w:r>
        <w:t>The Compliance Enforcement Authority shall keep the last audit records and all requested and submitted subsequent audit records.</w:t>
      </w:r>
    </w:p>
    <w:p w:rsidR="00D47012" w:rsidRDefault="00D47012">
      <w:pPr>
        <w:ind w:left="720"/>
        <w:rPr>
          <w:b/>
        </w:rPr>
      </w:pPr>
      <w:r>
        <w:rPr>
          <w:b/>
        </w:rPr>
        <w:t>2.</w:t>
      </w:r>
      <w:r>
        <w:rPr>
          <w:b/>
        </w:rPr>
        <w:tab/>
        <w:t>Additional Compliance Information</w:t>
      </w:r>
    </w:p>
    <w:p w:rsidR="00D47012" w:rsidRPr="002E4CD6" w:rsidRDefault="00D47012">
      <w:pPr>
        <w:pStyle w:val="BodyIndent2"/>
        <w:rPr>
          <w:sz w:val="24"/>
        </w:rPr>
      </w:pPr>
      <w:r>
        <w:rPr>
          <w:sz w:val="24"/>
        </w:rPr>
        <w:t>None</w:t>
      </w:r>
    </w:p>
    <w:p w:rsidR="00D47012" w:rsidRDefault="00D47012">
      <w:pPr>
        <w:pStyle w:val="BodyIndent2"/>
      </w:pPr>
    </w:p>
    <w:p w:rsidR="00D47012" w:rsidRDefault="00D47012">
      <w:pPr>
        <w:pStyle w:val="ListNumber"/>
        <w:numPr>
          <w:ilvl w:val="0"/>
          <w:numId w:val="0"/>
        </w:numPr>
        <w:tabs>
          <w:tab w:val="clear" w:pos="2160"/>
        </w:tabs>
        <w:ind w:left="720"/>
        <w:rPr>
          <w:b/>
          <w:sz w:val="24"/>
        </w:rPr>
      </w:pPr>
      <w:r>
        <w:rPr>
          <w:b/>
          <w:sz w:val="24"/>
        </w:rPr>
        <w:t>3.</w:t>
      </w:r>
      <w:r>
        <w:rPr>
          <w:b/>
          <w:sz w:val="24"/>
        </w:rPr>
        <w:tab/>
        <w:t>Violation Severity Levels</w:t>
      </w:r>
    </w:p>
    <w:p w:rsidR="00D47012" w:rsidRDefault="00D47012" w:rsidP="002078B4">
      <w:pPr>
        <w:pStyle w:val="ListNumber"/>
        <w:numPr>
          <w:ilvl w:val="0"/>
          <w:numId w:val="0"/>
        </w:numPr>
        <w:tabs>
          <w:tab w:val="clear" w:pos="2160"/>
        </w:tabs>
        <w:ind w:left="1440" w:hanging="720"/>
      </w:pPr>
      <w:r>
        <w:tab/>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1350"/>
        <w:gridCol w:w="1620"/>
        <w:gridCol w:w="1620"/>
        <w:gridCol w:w="1980"/>
        <w:gridCol w:w="2700"/>
      </w:tblGrid>
      <w:tr w:rsidR="00D47012" w:rsidRPr="00B65B5B" w:rsidTr="00EE1EC4">
        <w:trPr>
          <w:cantSplit/>
        </w:trPr>
        <w:tc>
          <w:tcPr>
            <w:tcW w:w="810" w:type="dxa"/>
            <w:vMerge w:val="restart"/>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R</w:t>
            </w:r>
            <w:r>
              <w:rPr>
                <w:sz w:val="20"/>
                <w:szCs w:val="20"/>
              </w:rPr>
              <w:t>#</w:t>
            </w:r>
          </w:p>
        </w:tc>
        <w:tc>
          <w:tcPr>
            <w:tcW w:w="1350" w:type="dxa"/>
            <w:vMerge w:val="restart"/>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Violation Risk Factor</w:t>
            </w:r>
          </w:p>
        </w:tc>
        <w:tc>
          <w:tcPr>
            <w:tcW w:w="7920" w:type="dxa"/>
            <w:gridSpan w:val="4"/>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Violation Severity Level</w:t>
            </w:r>
          </w:p>
        </w:tc>
      </w:tr>
      <w:tr w:rsidR="00D47012" w:rsidRPr="00B65B5B" w:rsidTr="00EE1EC4">
        <w:trPr>
          <w:cantSplit/>
        </w:trPr>
        <w:tc>
          <w:tcPr>
            <w:tcW w:w="810" w:type="dxa"/>
            <w:vMerge/>
            <w:shd w:val="clear" w:color="auto" w:fill="E6E6E6"/>
            <w:vAlign w:val="center"/>
          </w:tcPr>
          <w:p w:rsidR="00D47012" w:rsidRPr="00B65B5B" w:rsidRDefault="00D47012" w:rsidP="006F2BF5">
            <w:pPr>
              <w:pStyle w:val="ListNumber"/>
              <w:numPr>
                <w:ilvl w:val="0"/>
                <w:numId w:val="0"/>
              </w:numPr>
              <w:jc w:val="center"/>
              <w:rPr>
                <w:sz w:val="20"/>
                <w:szCs w:val="20"/>
              </w:rPr>
            </w:pPr>
          </w:p>
        </w:tc>
        <w:tc>
          <w:tcPr>
            <w:tcW w:w="1350" w:type="dxa"/>
            <w:vMerge/>
            <w:shd w:val="clear" w:color="auto" w:fill="E6E6E6"/>
          </w:tcPr>
          <w:p w:rsidR="00D47012" w:rsidRPr="00B65B5B" w:rsidRDefault="00D47012" w:rsidP="006F2BF5">
            <w:pPr>
              <w:pStyle w:val="ListNumber"/>
              <w:numPr>
                <w:ilvl w:val="0"/>
                <w:numId w:val="0"/>
              </w:numPr>
              <w:jc w:val="center"/>
              <w:rPr>
                <w:sz w:val="20"/>
                <w:szCs w:val="20"/>
              </w:rPr>
            </w:pPr>
          </w:p>
        </w:tc>
        <w:tc>
          <w:tcPr>
            <w:tcW w:w="1620" w:type="dxa"/>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Lower</w:t>
            </w:r>
          </w:p>
        </w:tc>
        <w:tc>
          <w:tcPr>
            <w:tcW w:w="1620" w:type="dxa"/>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Moderate</w:t>
            </w:r>
          </w:p>
        </w:tc>
        <w:tc>
          <w:tcPr>
            <w:tcW w:w="1980" w:type="dxa"/>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High</w:t>
            </w:r>
          </w:p>
        </w:tc>
        <w:tc>
          <w:tcPr>
            <w:tcW w:w="2700" w:type="dxa"/>
            <w:shd w:val="clear" w:color="auto" w:fill="E6E6E6"/>
            <w:vAlign w:val="center"/>
          </w:tcPr>
          <w:p w:rsidR="00D47012" w:rsidRPr="00B65B5B" w:rsidRDefault="00D47012" w:rsidP="006F2BF5">
            <w:pPr>
              <w:pStyle w:val="ListNumber"/>
              <w:numPr>
                <w:ilvl w:val="0"/>
                <w:numId w:val="0"/>
              </w:numPr>
              <w:jc w:val="center"/>
              <w:rPr>
                <w:sz w:val="20"/>
                <w:szCs w:val="20"/>
              </w:rPr>
            </w:pPr>
            <w:r w:rsidRPr="00B65B5B">
              <w:rPr>
                <w:sz w:val="20"/>
                <w:szCs w:val="20"/>
              </w:rPr>
              <w:t>Severe</w:t>
            </w:r>
          </w:p>
        </w:tc>
      </w:tr>
      <w:tr w:rsidR="00D47012" w:rsidRPr="00B65B5B" w:rsidTr="00EE1EC4">
        <w:tc>
          <w:tcPr>
            <w:tcW w:w="810" w:type="dxa"/>
            <w:vAlign w:val="center"/>
          </w:tcPr>
          <w:p w:rsidR="00D47012" w:rsidRPr="00B65B5B" w:rsidRDefault="00D47012" w:rsidP="00EE1EC4">
            <w:pPr>
              <w:pStyle w:val="Measure"/>
              <w:numPr>
                <w:ilvl w:val="0"/>
                <w:numId w:val="0"/>
              </w:numPr>
              <w:rPr>
                <w:b/>
                <w:sz w:val="20"/>
                <w:szCs w:val="20"/>
              </w:rPr>
            </w:pPr>
            <w:r w:rsidRPr="00B65B5B">
              <w:rPr>
                <w:b/>
                <w:sz w:val="20"/>
                <w:szCs w:val="20"/>
              </w:rPr>
              <w:t>R1</w:t>
            </w:r>
          </w:p>
        </w:tc>
        <w:tc>
          <w:tcPr>
            <w:tcW w:w="1350" w:type="dxa"/>
            <w:vAlign w:val="center"/>
          </w:tcPr>
          <w:p w:rsidR="00D47012" w:rsidRPr="00F0176D" w:rsidRDefault="00DA3634" w:rsidP="00F0176D">
            <w:pPr>
              <w:pStyle w:val="Measure"/>
              <w:numPr>
                <w:ilvl w:val="0"/>
                <w:numId w:val="0"/>
              </w:numPr>
              <w:rPr>
                <w:sz w:val="20"/>
                <w:szCs w:val="20"/>
              </w:rPr>
            </w:pPr>
            <w:r w:rsidRPr="00DA3634">
              <w:rPr>
                <w:b/>
                <w:sz w:val="20"/>
                <w:szCs w:val="20"/>
              </w:rPr>
              <w:t>Medium</w:t>
            </w:r>
          </w:p>
        </w:tc>
        <w:tc>
          <w:tcPr>
            <w:tcW w:w="1620" w:type="dxa"/>
          </w:tcPr>
          <w:p w:rsidR="00D47012" w:rsidRPr="00B65B5B" w:rsidRDefault="00D47012" w:rsidP="00EE1EC4">
            <w:pPr>
              <w:pStyle w:val="ListNumber"/>
              <w:numPr>
                <w:ilvl w:val="0"/>
                <w:numId w:val="0"/>
              </w:numPr>
              <w:rPr>
                <w:color w:val="FFFFFF"/>
                <w:sz w:val="20"/>
                <w:szCs w:val="20"/>
              </w:rPr>
            </w:pPr>
            <w:r w:rsidRPr="00B65B5B">
              <w:rPr>
                <w:sz w:val="20"/>
                <w:szCs w:val="20"/>
              </w:rPr>
              <w:t>N/A</w:t>
            </w:r>
          </w:p>
        </w:tc>
        <w:tc>
          <w:tcPr>
            <w:tcW w:w="1620" w:type="dxa"/>
          </w:tcPr>
          <w:p w:rsidR="00D47012" w:rsidRPr="00B65B5B" w:rsidRDefault="00D47012" w:rsidP="00EE1EC4">
            <w:pPr>
              <w:pStyle w:val="ListNumber"/>
              <w:numPr>
                <w:ilvl w:val="0"/>
                <w:numId w:val="0"/>
              </w:numPr>
              <w:rPr>
                <w:color w:val="FFFFFF"/>
                <w:sz w:val="20"/>
                <w:szCs w:val="20"/>
              </w:rPr>
            </w:pPr>
            <w:r w:rsidRPr="00B65B5B">
              <w:rPr>
                <w:sz w:val="20"/>
                <w:szCs w:val="20"/>
              </w:rPr>
              <w:t>N/A</w:t>
            </w:r>
            <w:r w:rsidRPr="00B65B5B">
              <w:rPr>
                <w:color w:val="FFFFFF"/>
                <w:sz w:val="20"/>
                <w:szCs w:val="20"/>
              </w:rPr>
              <w:t xml:space="preserve"> </w:t>
            </w:r>
          </w:p>
        </w:tc>
        <w:tc>
          <w:tcPr>
            <w:tcW w:w="1980" w:type="dxa"/>
          </w:tcPr>
          <w:p w:rsidR="00D47012" w:rsidRPr="00B65B5B" w:rsidRDefault="00D47012" w:rsidP="00EE1EC4">
            <w:pPr>
              <w:pStyle w:val="ListNumber"/>
              <w:numPr>
                <w:ilvl w:val="0"/>
                <w:numId w:val="0"/>
              </w:numPr>
              <w:rPr>
                <w:color w:val="000000"/>
                <w:sz w:val="20"/>
                <w:szCs w:val="20"/>
              </w:rPr>
            </w:pPr>
            <w:r w:rsidRPr="00B65B5B">
              <w:rPr>
                <w:color w:val="000000"/>
                <w:sz w:val="20"/>
                <w:szCs w:val="20"/>
              </w:rPr>
              <w:t>N/A</w:t>
            </w:r>
          </w:p>
        </w:tc>
        <w:tc>
          <w:tcPr>
            <w:tcW w:w="2700" w:type="dxa"/>
          </w:tcPr>
          <w:p w:rsidR="00D47012" w:rsidRPr="00B65B5B" w:rsidRDefault="00D47012" w:rsidP="00EE1EC4">
            <w:pPr>
              <w:pStyle w:val="ListNumber"/>
              <w:numPr>
                <w:ilvl w:val="0"/>
                <w:numId w:val="0"/>
              </w:numPr>
              <w:rPr>
                <w:sz w:val="20"/>
                <w:szCs w:val="20"/>
              </w:rPr>
            </w:pPr>
            <w:r w:rsidRPr="00B65B5B">
              <w:rPr>
                <w:sz w:val="20"/>
                <w:szCs w:val="20"/>
              </w:rPr>
              <w:t xml:space="preserve">A Generator Owner’s under or over frequency relaying is set to operate </w:t>
            </w:r>
            <w:r>
              <w:rPr>
                <w:sz w:val="20"/>
                <w:szCs w:val="20"/>
              </w:rPr>
              <w:t>out</w:t>
            </w:r>
            <w:r w:rsidRPr="00B65B5B">
              <w:rPr>
                <w:sz w:val="20"/>
                <w:szCs w:val="20"/>
              </w:rPr>
              <w:t xml:space="preserve">side the parameters in </w:t>
            </w:r>
            <w:r>
              <w:rPr>
                <w:sz w:val="20"/>
                <w:szCs w:val="20"/>
              </w:rPr>
              <w:t>R1 and PRC-024-Attachment 1</w:t>
            </w:r>
            <w:r w:rsidRPr="00B65B5B">
              <w:rPr>
                <w:sz w:val="20"/>
                <w:szCs w:val="20"/>
              </w:rPr>
              <w:t xml:space="preserve"> without a documented equipment limitation for the setting as described in R3.</w:t>
            </w:r>
          </w:p>
          <w:p w:rsidR="00D47012" w:rsidRPr="00B65B5B" w:rsidRDefault="00D47012" w:rsidP="00EE1EC4">
            <w:pPr>
              <w:pStyle w:val="ListNumber"/>
              <w:numPr>
                <w:ilvl w:val="0"/>
                <w:numId w:val="0"/>
              </w:numPr>
              <w:rPr>
                <w:color w:val="FFFFFF"/>
                <w:sz w:val="20"/>
                <w:szCs w:val="20"/>
              </w:rPr>
            </w:pPr>
          </w:p>
        </w:tc>
      </w:tr>
      <w:tr w:rsidR="00D47012" w:rsidRPr="00B65B5B" w:rsidTr="00EE1EC4">
        <w:tc>
          <w:tcPr>
            <w:tcW w:w="810" w:type="dxa"/>
            <w:vAlign w:val="center"/>
          </w:tcPr>
          <w:p w:rsidR="00D47012" w:rsidRPr="00B65B5B" w:rsidRDefault="00D47012" w:rsidP="00EE1EC4">
            <w:pPr>
              <w:pStyle w:val="Measure"/>
              <w:numPr>
                <w:ilvl w:val="0"/>
                <w:numId w:val="0"/>
              </w:numPr>
              <w:rPr>
                <w:b/>
                <w:sz w:val="20"/>
                <w:szCs w:val="20"/>
              </w:rPr>
            </w:pPr>
            <w:r w:rsidRPr="00B65B5B">
              <w:rPr>
                <w:b/>
                <w:sz w:val="20"/>
                <w:szCs w:val="20"/>
              </w:rPr>
              <w:t>R2</w:t>
            </w:r>
          </w:p>
        </w:tc>
        <w:tc>
          <w:tcPr>
            <w:tcW w:w="1350" w:type="dxa"/>
            <w:vAlign w:val="center"/>
          </w:tcPr>
          <w:p w:rsidR="00D47012" w:rsidRPr="0014219C" w:rsidRDefault="00D47012" w:rsidP="00EE1EC4">
            <w:pPr>
              <w:pStyle w:val="Measure"/>
              <w:numPr>
                <w:ilvl w:val="0"/>
                <w:numId w:val="0"/>
              </w:numPr>
              <w:rPr>
                <w:sz w:val="20"/>
                <w:szCs w:val="20"/>
                <w:highlight w:val="yellow"/>
              </w:rPr>
            </w:pPr>
          </w:p>
          <w:p w:rsidR="00D47012" w:rsidRPr="0014219C" w:rsidRDefault="00F0176D" w:rsidP="00EE1EC4">
            <w:pPr>
              <w:pStyle w:val="Measure"/>
              <w:numPr>
                <w:ilvl w:val="0"/>
                <w:numId w:val="0"/>
              </w:numPr>
              <w:rPr>
                <w:sz w:val="20"/>
                <w:szCs w:val="20"/>
                <w:highlight w:val="yellow"/>
              </w:rPr>
            </w:pPr>
            <w:r w:rsidRPr="00F0176D">
              <w:rPr>
                <w:b/>
                <w:sz w:val="20"/>
                <w:szCs w:val="20"/>
              </w:rPr>
              <w:t>Medium</w:t>
            </w:r>
          </w:p>
        </w:tc>
        <w:tc>
          <w:tcPr>
            <w:tcW w:w="1620" w:type="dxa"/>
          </w:tcPr>
          <w:p w:rsidR="00D47012" w:rsidRPr="00B65B5B" w:rsidRDefault="00D47012" w:rsidP="00EE1EC4">
            <w:pPr>
              <w:pStyle w:val="ListNumber"/>
              <w:numPr>
                <w:ilvl w:val="0"/>
                <w:numId w:val="0"/>
              </w:numPr>
              <w:rPr>
                <w:color w:val="FFFFFF"/>
                <w:sz w:val="20"/>
                <w:szCs w:val="20"/>
              </w:rPr>
            </w:pPr>
            <w:r w:rsidRPr="00B65B5B">
              <w:rPr>
                <w:sz w:val="20"/>
                <w:szCs w:val="20"/>
              </w:rPr>
              <w:t>N/A</w:t>
            </w:r>
          </w:p>
        </w:tc>
        <w:tc>
          <w:tcPr>
            <w:tcW w:w="1620" w:type="dxa"/>
          </w:tcPr>
          <w:p w:rsidR="00D47012" w:rsidRPr="00B65B5B" w:rsidRDefault="00D47012" w:rsidP="00EE1EC4">
            <w:pPr>
              <w:pStyle w:val="ListNumber"/>
              <w:numPr>
                <w:ilvl w:val="0"/>
                <w:numId w:val="0"/>
              </w:numPr>
              <w:rPr>
                <w:color w:val="000000"/>
                <w:sz w:val="20"/>
                <w:szCs w:val="20"/>
              </w:rPr>
            </w:pPr>
            <w:r w:rsidRPr="00B65B5B">
              <w:rPr>
                <w:sz w:val="20"/>
                <w:szCs w:val="20"/>
              </w:rPr>
              <w:t>N/A</w:t>
            </w:r>
            <w:r w:rsidRPr="00B65B5B">
              <w:rPr>
                <w:color w:val="FFFFFF"/>
                <w:sz w:val="20"/>
                <w:szCs w:val="20"/>
              </w:rPr>
              <w:t xml:space="preserve"> </w:t>
            </w:r>
          </w:p>
        </w:tc>
        <w:tc>
          <w:tcPr>
            <w:tcW w:w="1980" w:type="dxa"/>
          </w:tcPr>
          <w:p w:rsidR="00D47012" w:rsidRPr="00B65B5B" w:rsidRDefault="00D47012" w:rsidP="00EE1EC4">
            <w:pPr>
              <w:pStyle w:val="ListNumber"/>
              <w:numPr>
                <w:ilvl w:val="0"/>
                <w:numId w:val="0"/>
              </w:numPr>
              <w:rPr>
                <w:color w:val="FFFFFF"/>
                <w:sz w:val="20"/>
                <w:szCs w:val="20"/>
              </w:rPr>
            </w:pPr>
            <w:r w:rsidRPr="00B65B5B">
              <w:rPr>
                <w:sz w:val="20"/>
                <w:szCs w:val="20"/>
              </w:rPr>
              <w:t>N/A</w:t>
            </w:r>
            <w:r w:rsidRPr="00B65B5B">
              <w:rPr>
                <w:color w:val="FFFFFF"/>
                <w:sz w:val="20"/>
                <w:szCs w:val="20"/>
              </w:rPr>
              <w:t xml:space="preserve"> </w:t>
            </w:r>
          </w:p>
        </w:tc>
        <w:tc>
          <w:tcPr>
            <w:tcW w:w="2700" w:type="dxa"/>
          </w:tcPr>
          <w:p w:rsidR="00D47012" w:rsidRPr="00B65B5B" w:rsidRDefault="00D47012" w:rsidP="00EE1EC4">
            <w:pPr>
              <w:pStyle w:val="ListNumber"/>
              <w:numPr>
                <w:ilvl w:val="0"/>
                <w:numId w:val="0"/>
              </w:numPr>
              <w:rPr>
                <w:color w:val="FFFFFF"/>
                <w:sz w:val="20"/>
                <w:szCs w:val="20"/>
              </w:rPr>
            </w:pPr>
            <w:r w:rsidRPr="00B65B5B">
              <w:rPr>
                <w:sz w:val="20"/>
                <w:szCs w:val="20"/>
              </w:rPr>
              <w:t xml:space="preserve">A Generator Owner’s voltage relaying is set </w:t>
            </w:r>
            <w:r>
              <w:rPr>
                <w:sz w:val="20"/>
                <w:szCs w:val="20"/>
              </w:rPr>
              <w:t>to operate outside the parameters in R2 and PRC-024-Attachment 2</w:t>
            </w:r>
            <w:r w:rsidRPr="00B65B5B">
              <w:rPr>
                <w:sz w:val="20"/>
                <w:szCs w:val="20"/>
              </w:rPr>
              <w:t xml:space="preserve"> </w:t>
            </w:r>
            <w:r w:rsidRPr="00B65B5B">
              <w:rPr>
                <w:sz w:val="20"/>
                <w:szCs w:val="20"/>
              </w:rPr>
              <w:lastRenderedPageBreak/>
              <w:t>without a documented equipment limitation for the setting as described in R3.</w:t>
            </w:r>
          </w:p>
        </w:tc>
      </w:tr>
      <w:tr w:rsidR="00D47012" w:rsidRPr="00B65B5B" w:rsidTr="00EE1EC4">
        <w:tc>
          <w:tcPr>
            <w:tcW w:w="810" w:type="dxa"/>
            <w:vAlign w:val="center"/>
          </w:tcPr>
          <w:p w:rsidR="00D47012" w:rsidRPr="00B65B5B" w:rsidRDefault="00D47012" w:rsidP="00EE1EC4">
            <w:pPr>
              <w:pStyle w:val="Measure"/>
              <w:numPr>
                <w:ilvl w:val="0"/>
                <w:numId w:val="0"/>
              </w:numPr>
              <w:rPr>
                <w:b/>
                <w:sz w:val="20"/>
                <w:szCs w:val="20"/>
              </w:rPr>
            </w:pPr>
            <w:r w:rsidRPr="00B65B5B">
              <w:rPr>
                <w:b/>
                <w:sz w:val="20"/>
                <w:szCs w:val="20"/>
              </w:rPr>
              <w:lastRenderedPageBreak/>
              <w:t>R3</w:t>
            </w:r>
          </w:p>
        </w:tc>
        <w:tc>
          <w:tcPr>
            <w:tcW w:w="1350" w:type="dxa"/>
            <w:vAlign w:val="center"/>
          </w:tcPr>
          <w:p w:rsidR="00D47012" w:rsidRPr="00B65B5B" w:rsidRDefault="00D47012" w:rsidP="00EE1EC4">
            <w:pPr>
              <w:pStyle w:val="Measure"/>
              <w:numPr>
                <w:ilvl w:val="0"/>
                <w:numId w:val="0"/>
              </w:numPr>
              <w:rPr>
                <w:b/>
                <w:sz w:val="20"/>
                <w:szCs w:val="20"/>
              </w:rPr>
            </w:pPr>
            <w:r w:rsidRPr="00B65B5B">
              <w:rPr>
                <w:b/>
                <w:sz w:val="20"/>
                <w:szCs w:val="20"/>
              </w:rPr>
              <w:t>Lower</w:t>
            </w:r>
          </w:p>
        </w:tc>
        <w:tc>
          <w:tcPr>
            <w:tcW w:w="1620" w:type="dxa"/>
          </w:tcPr>
          <w:p w:rsidR="00D47012" w:rsidRPr="00B65B5B" w:rsidRDefault="00D47012" w:rsidP="00EE1EC4">
            <w:pPr>
              <w:pStyle w:val="ListNumber"/>
              <w:numPr>
                <w:ilvl w:val="0"/>
                <w:numId w:val="0"/>
              </w:numPr>
              <w:rPr>
                <w:color w:val="FFFFFF"/>
                <w:sz w:val="20"/>
                <w:szCs w:val="20"/>
              </w:rPr>
            </w:pPr>
            <w:r w:rsidRPr="00B65B5B">
              <w:rPr>
                <w:sz w:val="20"/>
                <w:szCs w:val="20"/>
              </w:rPr>
              <w:t xml:space="preserve">The Generator Owner provided a written response to written comments provided by the Reliability Coordinator, Planning Coordinator, Transmission Operator, or Transmission Planner regarding a request for exception to the requirements of R1 </w:t>
            </w:r>
            <w:r w:rsidRPr="004462FE">
              <w:rPr>
                <w:sz w:val="20"/>
                <w:szCs w:val="20"/>
              </w:rPr>
              <w:t xml:space="preserve">and R2 </w:t>
            </w:r>
            <w:r w:rsidR="00DA3634" w:rsidRPr="00DA3634">
              <w:rPr>
                <w:sz w:val="20"/>
                <w:szCs w:val="20"/>
              </w:rPr>
              <w:t>more than 90 days but within 180</w:t>
            </w:r>
            <w:r w:rsidRPr="004462FE">
              <w:rPr>
                <w:sz w:val="20"/>
                <w:szCs w:val="20"/>
              </w:rPr>
              <w:t xml:space="preserve"> days</w:t>
            </w:r>
            <w:r>
              <w:rPr>
                <w:sz w:val="20"/>
                <w:szCs w:val="20"/>
              </w:rPr>
              <w:t xml:space="preserve"> </w:t>
            </w:r>
            <w:r w:rsidRPr="00B65B5B">
              <w:rPr>
                <w:sz w:val="20"/>
                <w:szCs w:val="20"/>
              </w:rPr>
              <w:t xml:space="preserve">after receipt of the </w:t>
            </w:r>
            <w:r>
              <w:rPr>
                <w:sz w:val="20"/>
                <w:szCs w:val="20"/>
              </w:rPr>
              <w:t xml:space="preserve">written </w:t>
            </w:r>
            <w:r w:rsidRPr="00B65B5B">
              <w:rPr>
                <w:sz w:val="20"/>
                <w:szCs w:val="20"/>
              </w:rPr>
              <w:t>comments.</w:t>
            </w:r>
            <w:r>
              <w:rPr>
                <w:sz w:val="20"/>
                <w:szCs w:val="20"/>
              </w:rPr>
              <w:t>(R3, Part 3.1)</w:t>
            </w:r>
          </w:p>
        </w:tc>
        <w:tc>
          <w:tcPr>
            <w:tcW w:w="1620" w:type="dxa"/>
          </w:tcPr>
          <w:p w:rsidR="00D47012" w:rsidRPr="00B65B5B" w:rsidRDefault="00D47012" w:rsidP="00EE1EC4">
            <w:pPr>
              <w:pStyle w:val="ListNumber"/>
              <w:numPr>
                <w:ilvl w:val="0"/>
                <w:numId w:val="0"/>
              </w:numPr>
              <w:rPr>
                <w:color w:val="FFFFFF"/>
                <w:sz w:val="20"/>
                <w:szCs w:val="20"/>
              </w:rPr>
            </w:pPr>
            <w:r>
              <w:rPr>
                <w:sz w:val="20"/>
                <w:szCs w:val="20"/>
              </w:rPr>
              <w:t>The Generator Owner communicated the documented limitation to its RC, PC, TOP and TP more than 30 days but within 60 days of identifying a limitation.(R3)</w:t>
            </w:r>
          </w:p>
        </w:tc>
        <w:tc>
          <w:tcPr>
            <w:tcW w:w="1980" w:type="dxa"/>
          </w:tcPr>
          <w:p w:rsidR="00D47012" w:rsidRPr="00B65B5B" w:rsidRDefault="00D47012" w:rsidP="00E57780">
            <w:pPr>
              <w:pStyle w:val="ListNumber"/>
              <w:numPr>
                <w:ilvl w:val="0"/>
                <w:numId w:val="0"/>
              </w:numPr>
              <w:rPr>
                <w:color w:val="FFFFFF"/>
                <w:sz w:val="20"/>
                <w:szCs w:val="20"/>
              </w:rPr>
            </w:pPr>
            <w:r w:rsidRPr="00B65B5B">
              <w:rPr>
                <w:sz w:val="20"/>
                <w:szCs w:val="20"/>
              </w:rPr>
              <w:t xml:space="preserve">The Generator Owner did not provide a written response to written comments provided by the Reliability Coordinator, Planning Coordinator, Transmission </w:t>
            </w:r>
            <w:r w:rsidRPr="004462FE">
              <w:rPr>
                <w:sz w:val="20"/>
                <w:szCs w:val="20"/>
              </w:rPr>
              <w:t xml:space="preserve">Operator, or Transmission Planner </w:t>
            </w:r>
            <w:r w:rsidR="00DA3634" w:rsidRPr="00DA3634">
              <w:rPr>
                <w:sz w:val="20"/>
                <w:szCs w:val="20"/>
              </w:rPr>
              <w:t xml:space="preserve">within </w:t>
            </w:r>
            <w:r w:rsidR="00E57780" w:rsidRPr="00DA3634">
              <w:rPr>
                <w:sz w:val="20"/>
                <w:szCs w:val="20"/>
              </w:rPr>
              <w:t>1</w:t>
            </w:r>
            <w:r w:rsidR="00E57780">
              <w:rPr>
                <w:sz w:val="20"/>
                <w:szCs w:val="20"/>
              </w:rPr>
              <w:t>8</w:t>
            </w:r>
            <w:r w:rsidR="00E57780" w:rsidRPr="00DA3634">
              <w:rPr>
                <w:sz w:val="20"/>
                <w:szCs w:val="20"/>
              </w:rPr>
              <w:t xml:space="preserve">0 </w:t>
            </w:r>
            <w:r w:rsidR="00DA3634" w:rsidRPr="00DA3634">
              <w:rPr>
                <w:sz w:val="20"/>
                <w:szCs w:val="20"/>
              </w:rPr>
              <w:t>days</w:t>
            </w:r>
            <w:r w:rsidRPr="004462FE">
              <w:rPr>
                <w:sz w:val="20"/>
                <w:szCs w:val="20"/>
              </w:rPr>
              <w:t xml:space="preserve"> from the date it was</w:t>
            </w:r>
            <w:r>
              <w:rPr>
                <w:sz w:val="20"/>
                <w:szCs w:val="20"/>
              </w:rPr>
              <w:t xml:space="preserve"> requested </w:t>
            </w:r>
            <w:r w:rsidRPr="00B65B5B">
              <w:rPr>
                <w:sz w:val="20"/>
                <w:szCs w:val="20"/>
              </w:rPr>
              <w:t>regarding a request for exception to the requirements of R1 and R2</w:t>
            </w:r>
            <w:r>
              <w:rPr>
                <w:sz w:val="20"/>
                <w:szCs w:val="20"/>
              </w:rPr>
              <w:t>. (R3, Part 3.1)</w:t>
            </w:r>
          </w:p>
        </w:tc>
        <w:tc>
          <w:tcPr>
            <w:tcW w:w="2700" w:type="dxa"/>
          </w:tcPr>
          <w:p w:rsidR="00D47012" w:rsidRPr="00B65B5B" w:rsidRDefault="00E57780" w:rsidP="00C1136C">
            <w:pPr>
              <w:pStyle w:val="ListNumber"/>
              <w:numPr>
                <w:ilvl w:val="0"/>
                <w:numId w:val="0"/>
              </w:numPr>
              <w:rPr>
                <w:color w:val="FFFFFF"/>
                <w:sz w:val="20"/>
                <w:szCs w:val="20"/>
              </w:rPr>
            </w:pPr>
            <w:r>
              <w:rPr>
                <w:sz w:val="20"/>
                <w:szCs w:val="20"/>
              </w:rPr>
              <w:t>The Generator Owner did not communicate the documented limitation to its RC, PC, TOP and TP within 60 days of identifying a limitation. (R3)</w:t>
            </w:r>
          </w:p>
        </w:tc>
      </w:tr>
      <w:tr w:rsidR="009D7AFD" w:rsidRPr="00B65B5B" w:rsidTr="00EE1EC4">
        <w:tc>
          <w:tcPr>
            <w:tcW w:w="810" w:type="dxa"/>
            <w:vAlign w:val="center"/>
          </w:tcPr>
          <w:p w:rsidR="009D7AFD" w:rsidRPr="009D7AFD" w:rsidRDefault="009D7AFD" w:rsidP="00EE1EC4">
            <w:pPr>
              <w:pStyle w:val="Measure"/>
              <w:numPr>
                <w:ilvl w:val="0"/>
                <w:numId w:val="0"/>
              </w:numPr>
              <w:rPr>
                <w:b/>
                <w:sz w:val="20"/>
                <w:szCs w:val="20"/>
              </w:rPr>
            </w:pPr>
            <w:r w:rsidRPr="009D7AFD">
              <w:rPr>
                <w:b/>
                <w:sz w:val="20"/>
                <w:szCs w:val="20"/>
              </w:rPr>
              <w:t>R4</w:t>
            </w:r>
          </w:p>
        </w:tc>
        <w:tc>
          <w:tcPr>
            <w:tcW w:w="1350" w:type="dxa"/>
            <w:vAlign w:val="center"/>
          </w:tcPr>
          <w:p w:rsidR="009D7AFD" w:rsidRPr="009D7AFD" w:rsidRDefault="009D7AFD" w:rsidP="00EE1EC4">
            <w:pPr>
              <w:pStyle w:val="Measure"/>
              <w:numPr>
                <w:ilvl w:val="0"/>
                <w:numId w:val="0"/>
              </w:numPr>
              <w:rPr>
                <w:sz w:val="20"/>
                <w:szCs w:val="20"/>
              </w:rPr>
            </w:pPr>
            <w:r w:rsidRPr="009D7AFD">
              <w:rPr>
                <w:b/>
                <w:sz w:val="20"/>
                <w:szCs w:val="20"/>
              </w:rPr>
              <w:t>Medium</w:t>
            </w:r>
            <w:r w:rsidRPr="009D7AFD">
              <w:rPr>
                <w:sz w:val="20"/>
                <w:szCs w:val="20"/>
              </w:rPr>
              <w:t xml:space="preserve"> </w:t>
            </w:r>
          </w:p>
        </w:tc>
        <w:tc>
          <w:tcPr>
            <w:tcW w:w="1620" w:type="dxa"/>
          </w:tcPr>
          <w:p w:rsidR="009D7AFD" w:rsidRPr="009D7AFD" w:rsidRDefault="009D7AFD" w:rsidP="009D7AFD">
            <w:pPr>
              <w:pStyle w:val="ListNumber"/>
              <w:numPr>
                <w:ilvl w:val="0"/>
                <w:numId w:val="0"/>
              </w:numPr>
              <w:rPr>
                <w:color w:val="FFFFFF"/>
                <w:sz w:val="20"/>
                <w:szCs w:val="20"/>
              </w:rPr>
            </w:pPr>
            <w:r w:rsidRPr="009D7AFD">
              <w:rPr>
                <w:sz w:val="20"/>
                <w:szCs w:val="20"/>
              </w:rPr>
              <w:t xml:space="preserve">The Generator Owner supplied the information on estimated generator performance during excursions to the requesting entities </w:t>
            </w:r>
            <w:r w:rsidR="00DA3634" w:rsidRPr="00DA3634">
              <w:rPr>
                <w:sz w:val="20"/>
                <w:szCs w:val="20"/>
              </w:rPr>
              <w:t xml:space="preserve">more than 30 days but within </w:t>
            </w:r>
            <w:r w:rsidRPr="009D7AFD">
              <w:rPr>
                <w:sz w:val="20"/>
                <w:szCs w:val="20"/>
              </w:rPr>
              <w:t>45 days from the date it was requested.</w:t>
            </w:r>
          </w:p>
        </w:tc>
        <w:tc>
          <w:tcPr>
            <w:tcW w:w="1620" w:type="dxa"/>
          </w:tcPr>
          <w:p w:rsidR="009D7AFD" w:rsidRPr="009D7AFD" w:rsidRDefault="009D7AFD" w:rsidP="009D7AFD">
            <w:pPr>
              <w:pStyle w:val="ListNumber"/>
              <w:numPr>
                <w:ilvl w:val="0"/>
                <w:numId w:val="0"/>
              </w:numPr>
              <w:rPr>
                <w:color w:val="FFFFFF"/>
                <w:sz w:val="20"/>
                <w:szCs w:val="20"/>
              </w:rPr>
            </w:pPr>
            <w:r w:rsidRPr="009D7AFD">
              <w:rPr>
                <w:sz w:val="20"/>
                <w:szCs w:val="20"/>
              </w:rPr>
              <w:t xml:space="preserve">The Generator Owner supplied the information on estimated generator performance during excursions to the requesting entities </w:t>
            </w:r>
            <w:r w:rsidR="00DA3634" w:rsidRPr="00DA3634">
              <w:rPr>
                <w:sz w:val="20"/>
                <w:szCs w:val="20"/>
              </w:rPr>
              <w:t xml:space="preserve">more than 45 days but within </w:t>
            </w:r>
            <w:r w:rsidRPr="009D7AFD">
              <w:rPr>
                <w:sz w:val="20"/>
                <w:szCs w:val="20"/>
              </w:rPr>
              <w:t>60 days from the date it was requested.</w:t>
            </w:r>
          </w:p>
        </w:tc>
        <w:tc>
          <w:tcPr>
            <w:tcW w:w="1980" w:type="dxa"/>
          </w:tcPr>
          <w:p w:rsidR="009D7AFD" w:rsidRPr="009D7AFD" w:rsidRDefault="009D7AFD" w:rsidP="009D7AFD">
            <w:pPr>
              <w:pStyle w:val="ListNumber"/>
              <w:numPr>
                <w:ilvl w:val="0"/>
                <w:numId w:val="0"/>
              </w:numPr>
              <w:rPr>
                <w:color w:val="FFFFFF"/>
                <w:sz w:val="20"/>
                <w:szCs w:val="20"/>
              </w:rPr>
            </w:pPr>
            <w:r w:rsidRPr="009D7AFD">
              <w:rPr>
                <w:sz w:val="20"/>
                <w:szCs w:val="20"/>
              </w:rPr>
              <w:t xml:space="preserve">The Generator Owner supplied the information on estimated generator performance during excursions to the requesting entities </w:t>
            </w:r>
            <w:r w:rsidR="00DA3634" w:rsidRPr="00DA3634">
              <w:rPr>
                <w:sz w:val="20"/>
                <w:szCs w:val="20"/>
              </w:rPr>
              <w:t xml:space="preserve">more than 60 days but within </w:t>
            </w:r>
            <w:r w:rsidRPr="009D7AFD">
              <w:rPr>
                <w:sz w:val="20"/>
                <w:szCs w:val="20"/>
              </w:rPr>
              <w:t>75 days from the date it was requested.</w:t>
            </w:r>
          </w:p>
        </w:tc>
        <w:tc>
          <w:tcPr>
            <w:tcW w:w="2700" w:type="dxa"/>
          </w:tcPr>
          <w:p w:rsidR="009D7AFD" w:rsidRPr="00B65B5B" w:rsidRDefault="009D7AFD" w:rsidP="009D7AFD">
            <w:pPr>
              <w:pStyle w:val="ListNumber"/>
              <w:numPr>
                <w:ilvl w:val="0"/>
                <w:numId w:val="0"/>
              </w:numPr>
              <w:rPr>
                <w:color w:val="FFFFFF"/>
                <w:sz w:val="20"/>
                <w:szCs w:val="20"/>
              </w:rPr>
            </w:pPr>
            <w:r w:rsidRPr="009D7AFD">
              <w:rPr>
                <w:sz w:val="20"/>
                <w:szCs w:val="20"/>
              </w:rPr>
              <w:t>The Generator Owner did not supply the information on estimated generator performance during excursions to the requesting entities within 75 days from the date it was requested.</w:t>
            </w:r>
          </w:p>
        </w:tc>
      </w:tr>
      <w:tr w:rsidR="009D7AFD" w:rsidRPr="00B65B5B" w:rsidTr="00EE1EC4">
        <w:tc>
          <w:tcPr>
            <w:tcW w:w="810" w:type="dxa"/>
            <w:vAlign w:val="center"/>
          </w:tcPr>
          <w:p w:rsidR="009D7AFD" w:rsidRPr="00B65B5B" w:rsidRDefault="009D7AFD" w:rsidP="00EE1EC4">
            <w:pPr>
              <w:pStyle w:val="Measure"/>
              <w:numPr>
                <w:ilvl w:val="0"/>
                <w:numId w:val="0"/>
              </w:numPr>
              <w:rPr>
                <w:b/>
                <w:sz w:val="20"/>
                <w:szCs w:val="20"/>
              </w:rPr>
            </w:pPr>
            <w:r w:rsidRPr="00B65B5B">
              <w:rPr>
                <w:b/>
                <w:sz w:val="20"/>
                <w:szCs w:val="20"/>
              </w:rPr>
              <w:t>R5</w:t>
            </w:r>
          </w:p>
        </w:tc>
        <w:tc>
          <w:tcPr>
            <w:tcW w:w="1350" w:type="dxa"/>
            <w:vAlign w:val="center"/>
          </w:tcPr>
          <w:p w:rsidR="009D7AFD" w:rsidRPr="00B65B5B" w:rsidRDefault="00DA3634" w:rsidP="00221F88">
            <w:pPr>
              <w:pStyle w:val="Measure"/>
              <w:numPr>
                <w:ilvl w:val="0"/>
                <w:numId w:val="0"/>
              </w:numPr>
              <w:rPr>
                <w:sz w:val="20"/>
                <w:szCs w:val="20"/>
              </w:rPr>
            </w:pPr>
            <w:r w:rsidRPr="00DA3634">
              <w:rPr>
                <w:b/>
                <w:sz w:val="20"/>
                <w:szCs w:val="20"/>
              </w:rPr>
              <w:t>Medium</w:t>
            </w:r>
            <w:r w:rsidR="009D7AFD" w:rsidRPr="00B65B5B">
              <w:rPr>
                <w:sz w:val="20"/>
                <w:szCs w:val="20"/>
              </w:rPr>
              <w:t xml:space="preserve"> </w:t>
            </w:r>
          </w:p>
        </w:tc>
        <w:tc>
          <w:tcPr>
            <w:tcW w:w="1620" w:type="dxa"/>
          </w:tcPr>
          <w:p w:rsidR="009D7AFD" w:rsidRPr="00B65B5B" w:rsidRDefault="009D7AFD" w:rsidP="00EE1EC4">
            <w:pPr>
              <w:pStyle w:val="ListNumber"/>
              <w:numPr>
                <w:ilvl w:val="0"/>
                <w:numId w:val="0"/>
              </w:numPr>
              <w:rPr>
                <w:color w:val="000000"/>
                <w:sz w:val="20"/>
                <w:szCs w:val="20"/>
              </w:rPr>
            </w:pPr>
            <w:r w:rsidRPr="00B65B5B">
              <w:rPr>
                <w:color w:val="000000"/>
                <w:sz w:val="20"/>
                <w:szCs w:val="20"/>
              </w:rPr>
              <w:t>N/A</w:t>
            </w:r>
          </w:p>
        </w:tc>
        <w:tc>
          <w:tcPr>
            <w:tcW w:w="1620" w:type="dxa"/>
          </w:tcPr>
          <w:p w:rsidR="009D7AFD" w:rsidRPr="006354A8" w:rsidRDefault="009D7AFD" w:rsidP="00EE1EC4">
            <w:pPr>
              <w:pStyle w:val="ListNumber"/>
              <w:numPr>
                <w:ilvl w:val="0"/>
                <w:numId w:val="0"/>
              </w:numPr>
              <w:rPr>
                <w:sz w:val="20"/>
                <w:szCs w:val="20"/>
              </w:rPr>
            </w:pPr>
            <w:r w:rsidRPr="00B65B5B">
              <w:rPr>
                <w:sz w:val="20"/>
                <w:szCs w:val="20"/>
              </w:rPr>
              <w:t xml:space="preserve">A Generator Owner’s generating unit or generating plant/facility tripped off line after 20 seconds of the start of a Voltage Excursion within </w:t>
            </w:r>
            <w:r w:rsidRPr="00B65B5B">
              <w:rPr>
                <w:sz w:val="20"/>
                <w:szCs w:val="20"/>
              </w:rPr>
              <w:lastRenderedPageBreak/>
              <w:t>the No Trip Zone of Attachment 2 in accordance with R5.</w:t>
            </w:r>
          </w:p>
        </w:tc>
        <w:tc>
          <w:tcPr>
            <w:tcW w:w="1980" w:type="dxa"/>
          </w:tcPr>
          <w:p w:rsidR="009D7AFD" w:rsidRPr="00B65B5B" w:rsidRDefault="009D7AFD" w:rsidP="00EE1EC4">
            <w:pPr>
              <w:pStyle w:val="ListNumber"/>
              <w:numPr>
                <w:ilvl w:val="0"/>
                <w:numId w:val="0"/>
              </w:numPr>
              <w:rPr>
                <w:sz w:val="20"/>
                <w:szCs w:val="20"/>
              </w:rPr>
            </w:pPr>
            <w:r w:rsidRPr="00B65B5B">
              <w:rPr>
                <w:sz w:val="20"/>
                <w:szCs w:val="20"/>
              </w:rPr>
              <w:lastRenderedPageBreak/>
              <w:t xml:space="preserve">A Generator Owner’s generating unit or generating plant/facility tripped off line after the first 4 seconds and within 20 seconds of the start of a Voltage Excursion </w:t>
            </w:r>
            <w:r>
              <w:rPr>
                <w:sz w:val="20"/>
                <w:szCs w:val="20"/>
              </w:rPr>
              <w:t xml:space="preserve">within the No Trip Zone of </w:t>
            </w:r>
            <w:r>
              <w:rPr>
                <w:sz w:val="20"/>
                <w:szCs w:val="20"/>
              </w:rPr>
              <w:lastRenderedPageBreak/>
              <w:t xml:space="preserve">Attachment 2 </w:t>
            </w:r>
            <w:r w:rsidRPr="00B65B5B">
              <w:rPr>
                <w:sz w:val="20"/>
                <w:szCs w:val="20"/>
              </w:rPr>
              <w:t>in accordance with R5.</w:t>
            </w:r>
          </w:p>
          <w:p w:rsidR="009D7AFD" w:rsidRDefault="009D7AFD" w:rsidP="00EE1EC4">
            <w:pPr>
              <w:pStyle w:val="ListNumber"/>
              <w:numPr>
                <w:ilvl w:val="0"/>
                <w:numId w:val="0"/>
              </w:numPr>
              <w:rPr>
                <w:sz w:val="20"/>
                <w:szCs w:val="20"/>
              </w:rPr>
            </w:pPr>
            <w:r>
              <w:rPr>
                <w:sz w:val="20"/>
                <w:szCs w:val="20"/>
              </w:rPr>
              <w:t>OR</w:t>
            </w:r>
          </w:p>
          <w:p w:rsidR="009D7AFD" w:rsidRPr="006354A8" w:rsidRDefault="009D7AFD" w:rsidP="00EE1EC4">
            <w:pPr>
              <w:pStyle w:val="ListNumber"/>
              <w:numPr>
                <w:ilvl w:val="0"/>
                <w:numId w:val="0"/>
              </w:numPr>
              <w:rPr>
                <w:sz w:val="20"/>
                <w:szCs w:val="20"/>
              </w:rPr>
            </w:pPr>
            <w:r w:rsidRPr="00B65B5B">
              <w:rPr>
                <w:sz w:val="20"/>
                <w:szCs w:val="20"/>
              </w:rPr>
              <w:t xml:space="preserve">A Generator Owner’s generating unit or generating plant/facility tripped off line due to a </w:t>
            </w:r>
            <w:r>
              <w:rPr>
                <w:sz w:val="20"/>
                <w:szCs w:val="20"/>
              </w:rPr>
              <w:t>high</w:t>
            </w:r>
            <w:r w:rsidRPr="00B65B5B">
              <w:rPr>
                <w:sz w:val="20"/>
                <w:szCs w:val="20"/>
              </w:rPr>
              <w:t xml:space="preserve"> Frequency Excursion within the No Trip Zone</w:t>
            </w:r>
            <w:r>
              <w:rPr>
                <w:sz w:val="20"/>
                <w:szCs w:val="20"/>
              </w:rPr>
              <w:t xml:space="preserve"> of Attachment 1 in accordance with R5</w:t>
            </w:r>
            <w:r w:rsidRPr="00B65B5B">
              <w:rPr>
                <w:sz w:val="20"/>
                <w:szCs w:val="20"/>
              </w:rPr>
              <w:t>.</w:t>
            </w:r>
          </w:p>
        </w:tc>
        <w:tc>
          <w:tcPr>
            <w:tcW w:w="2700" w:type="dxa"/>
          </w:tcPr>
          <w:p w:rsidR="009D7AFD" w:rsidRPr="00B65B5B" w:rsidRDefault="009D7AFD" w:rsidP="00EE1EC4">
            <w:pPr>
              <w:pStyle w:val="ListNumber"/>
              <w:numPr>
                <w:ilvl w:val="0"/>
                <w:numId w:val="0"/>
              </w:numPr>
              <w:rPr>
                <w:sz w:val="20"/>
                <w:szCs w:val="20"/>
              </w:rPr>
            </w:pPr>
            <w:r w:rsidRPr="00B65B5B">
              <w:rPr>
                <w:sz w:val="20"/>
                <w:szCs w:val="20"/>
              </w:rPr>
              <w:lastRenderedPageBreak/>
              <w:t>A Generator Owner’s generating unit or generating plant/facility tripped off line during the first 4 seconds of the start of a Voltage Excursion within the No Trip Zone</w:t>
            </w:r>
            <w:r>
              <w:rPr>
                <w:sz w:val="20"/>
                <w:szCs w:val="20"/>
              </w:rPr>
              <w:t xml:space="preserve"> of Attachment</w:t>
            </w:r>
            <w:r w:rsidRPr="00B65B5B">
              <w:rPr>
                <w:sz w:val="20"/>
                <w:szCs w:val="20"/>
              </w:rPr>
              <w:t xml:space="preserve"> </w:t>
            </w:r>
            <w:r>
              <w:rPr>
                <w:sz w:val="20"/>
                <w:szCs w:val="20"/>
              </w:rPr>
              <w:t xml:space="preserve">2 </w:t>
            </w:r>
            <w:r w:rsidRPr="00B65B5B">
              <w:rPr>
                <w:sz w:val="20"/>
                <w:szCs w:val="20"/>
              </w:rPr>
              <w:t>in accordance with R5.</w:t>
            </w:r>
          </w:p>
          <w:p w:rsidR="009D7AFD" w:rsidRDefault="009D7AFD" w:rsidP="008271BE">
            <w:pPr>
              <w:pStyle w:val="ListNumber"/>
              <w:numPr>
                <w:ilvl w:val="0"/>
                <w:numId w:val="0"/>
              </w:numPr>
              <w:jc w:val="center"/>
              <w:rPr>
                <w:sz w:val="20"/>
                <w:szCs w:val="20"/>
              </w:rPr>
            </w:pPr>
          </w:p>
          <w:p w:rsidR="009D7AFD" w:rsidRPr="00B65B5B" w:rsidRDefault="009D7AFD" w:rsidP="006F2BF5">
            <w:pPr>
              <w:pStyle w:val="ListNumber"/>
              <w:numPr>
                <w:ilvl w:val="0"/>
                <w:numId w:val="0"/>
              </w:numPr>
              <w:rPr>
                <w:sz w:val="20"/>
                <w:szCs w:val="20"/>
              </w:rPr>
            </w:pPr>
            <w:r>
              <w:rPr>
                <w:sz w:val="20"/>
                <w:szCs w:val="20"/>
              </w:rPr>
              <w:lastRenderedPageBreak/>
              <w:t>OR</w:t>
            </w:r>
          </w:p>
          <w:p w:rsidR="009D7AFD" w:rsidRPr="00B65B5B" w:rsidRDefault="009D7AFD" w:rsidP="00EE1EC4">
            <w:pPr>
              <w:pStyle w:val="ListNumber"/>
              <w:numPr>
                <w:ilvl w:val="0"/>
                <w:numId w:val="0"/>
              </w:numPr>
              <w:rPr>
                <w:color w:val="FFFFFF"/>
                <w:sz w:val="20"/>
                <w:szCs w:val="20"/>
              </w:rPr>
            </w:pPr>
            <w:r w:rsidRPr="00B65B5B">
              <w:rPr>
                <w:sz w:val="20"/>
                <w:szCs w:val="20"/>
              </w:rPr>
              <w:t>A Generator Owner’s generating unit or generating plant/facility tripped off line due to a low Frequency Excursion within the No Trip Zone</w:t>
            </w:r>
            <w:r>
              <w:rPr>
                <w:sz w:val="20"/>
                <w:szCs w:val="20"/>
              </w:rPr>
              <w:t xml:space="preserve"> of Attachment 1 in accordance with R5</w:t>
            </w:r>
            <w:r w:rsidRPr="00B65B5B">
              <w:rPr>
                <w:sz w:val="20"/>
                <w:szCs w:val="20"/>
              </w:rPr>
              <w:t>.</w:t>
            </w:r>
          </w:p>
        </w:tc>
      </w:tr>
      <w:tr w:rsidR="009D7AFD" w:rsidRPr="00B65B5B" w:rsidTr="00EE1EC4">
        <w:tc>
          <w:tcPr>
            <w:tcW w:w="810" w:type="dxa"/>
            <w:vAlign w:val="center"/>
          </w:tcPr>
          <w:p w:rsidR="009D7AFD" w:rsidRPr="00B65B5B" w:rsidRDefault="009D7AFD" w:rsidP="00EE1EC4">
            <w:pPr>
              <w:pStyle w:val="Measure"/>
              <w:numPr>
                <w:ilvl w:val="0"/>
                <w:numId w:val="0"/>
              </w:numPr>
              <w:rPr>
                <w:b/>
                <w:sz w:val="20"/>
                <w:szCs w:val="20"/>
              </w:rPr>
            </w:pPr>
            <w:r w:rsidRPr="00B65B5B">
              <w:rPr>
                <w:b/>
                <w:sz w:val="20"/>
                <w:szCs w:val="20"/>
              </w:rPr>
              <w:lastRenderedPageBreak/>
              <w:t>R6</w:t>
            </w:r>
          </w:p>
        </w:tc>
        <w:tc>
          <w:tcPr>
            <w:tcW w:w="1350" w:type="dxa"/>
            <w:vAlign w:val="center"/>
          </w:tcPr>
          <w:p w:rsidR="009D7AFD" w:rsidRPr="00B65B5B" w:rsidRDefault="009D7AFD" w:rsidP="00EE1EC4">
            <w:pPr>
              <w:pStyle w:val="Measure"/>
              <w:numPr>
                <w:ilvl w:val="0"/>
                <w:numId w:val="0"/>
              </w:numPr>
              <w:rPr>
                <w:b/>
                <w:sz w:val="20"/>
                <w:szCs w:val="20"/>
              </w:rPr>
            </w:pPr>
            <w:r w:rsidRPr="00B65B5B">
              <w:rPr>
                <w:b/>
                <w:sz w:val="20"/>
                <w:szCs w:val="20"/>
              </w:rPr>
              <w:t>Lower</w:t>
            </w:r>
          </w:p>
        </w:tc>
        <w:tc>
          <w:tcPr>
            <w:tcW w:w="1620" w:type="dxa"/>
          </w:tcPr>
          <w:p w:rsidR="009D7AFD" w:rsidRPr="00B65B5B" w:rsidRDefault="009D7AFD" w:rsidP="00136A3A">
            <w:pPr>
              <w:pStyle w:val="ListNumber"/>
              <w:numPr>
                <w:ilvl w:val="0"/>
                <w:numId w:val="0"/>
              </w:numPr>
              <w:rPr>
                <w:color w:val="FFFFFF"/>
                <w:sz w:val="20"/>
                <w:szCs w:val="20"/>
              </w:rPr>
            </w:pPr>
            <w:r w:rsidRPr="00B65B5B">
              <w:rPr>
                <w:sz w:val="20"/>
                <w:szCs w:val="20"/>
              </w:rPr>
              <w:t xml:space="preserve">The Generator Owner supplied the information required in R6 more than 30 </w:t>
            </w:r>
            <w:r>
              <w:rPr>
                <w:sz w:val="20"/>
                <w:szCs w:val="20"/>
              </w:rPr>
              <w:t xml:space="preserve">but within </w:t>
            </w:r>
            <w:r w:rsidR="00136A3A">
              <w:rPr>
                <w:sz w:val="20"/>
                <w:szCs w:val="20"/>
              </w:rPr>
              <w:t>45</w:t>
            </w:r>
            <w:r>
              <w:rPr>
                <w:sz w:val="20"/>
                <w:szCs w:val="20"/>
              </w:rPr>
              <w:t xml:space="preserve"> </w:t>
            </w:r>
            <w:r w:rsidRPr="00B65B5B">
              <w:rPr>
                <w:sz w:val="20"/>
                <w:szCs w:val="20"/>
              </w:rPr>
              <w:t>days from the time of the change.</w:t>
            </w:r>
          </w:p>
        </w:tc>
        <w:tc>
          <w:tcPr>
            <w:tcW w:w="1620" w:type="dxa"/>
          </w:tcPr>
          <w:p w:rsidR="009D7AFD" w:rsidRPr="00B65B5B" w:rsidRDefault="00136A3A" w:rsidP="00136A3A">
            <w:pPr>
              <w:pStyle w:val="ListNumber"/>
              <w:numPr>
                <w:ilvl w:val="0"/>
                <w:numId w:val="0"/>
              </w:numPr>
              <w:rPr>
                <w:color w:val="FFFFFF"/>
                <w:sz w:val="20"/>
                <w:szCs w:val="20"/>
              </w:rPr>
            </w:pPr>
            <w:r w:rsidRPr="00B65B5B">
              <w:rPr>
                <w:sz w:val="20"/>
                <w:szCs w:val="20"/>
              </w:rPr>
              <w:t xml:space="preserve">The Generator Owner supplied the information required in R6 more than </w:t>
            </w:r>
            <w:r>
              <w:rPr>
                <w:sz w:val="20"/>
                <w:szCs w:val="20"/>
              </w:rPr>
              <w:t>45</w:t>
            </w:r>
            <w:r w:rsidRPr="00B65B5B">
              <w:rPr>
                <w:sz w:val="20"/>
                <w:szCs w:val="20"/>
              </w:rPr>
              <w:t xml:space="preserve"> </w:t>
            </w:r>
            <w:r>
              <w:rPr>
                <w:sz w:val="20"/>
                <w:szCs w:val="20"/>
              </w:rPr>
              <w:t xml:space="preserve">but within 60 </w:t>
            </w:r>
            <w:r w:rsidRPr="00B65B5B">
              <w:rPr>
                <w:sz w:val="20"/>
                <w:szCs w:val="20"/>
              </w:rPr>
              <w:t>days from the time of the change.</w:t>
            </w:r>
          </w:p>
        </w:tc>
        <w:tc>
          <w:tcPr>
            <w:tcW w:w="1980" w:type="dxa"/>
          </w:tcPr>
          <w:p w:rsidR="009D7AFD" w:rsidRPr="00B65B5B" w:rsidRDefault="00136A3A" w:rsidP="00136A3A">
            <w:pPr>
              <w:pStyle w:val="ListNumber"/>
              <w:numPr>
                <w:ilvl w:val="0"/>
                <w:numId w:val="0"/>
              </w:numPr>
              <w:rPr>
                <w:color w:val="FFFFFF"/>
                <w:sz w:val="20"/>
                <w:szCs w:val="20"/>
              </w:rPr>
            </w:pPr>
            <w:r w:rsidRPr="00B65B5B">
              <w:rPr>
                <w:sz w:val="20"/>
                <w:szCs w:val="20"/>
              </w:rPr>
              <w:t xml:space="preserve">The Generator Owner supplied the information required in R6 more than </w:t>
            </w:r>
            <w:r>
              <w:rPr>
                <w:sz w:val="20"/>
                <w:szCs w:val="20"/>
              </w:rPr>
              <w:t>6</w:t>
            </w:r>
            <w:r w:rsidRPr="00B65B5B">
              <w:rPr>
                <w:sz w:val="20"/>
                <w:szCs w:val="20"/>
              </w:rPr>
              <w:t xml:space="preserve">0 </w:t>
            </w:r>
            <w:r>
              <w:rPr>
                <w:sz w:val="20"/>
                <w:szCs w:val="20"/>
              </w:rPr>
              <w:t xml:space="preserve">but within 75 </w:t>
            </w:r>
            <w:r w:rsidRPr="00B65B5B">
              <w:rPr>
                <w:sz w:val="20"/>
                <w:szCs w:val="20"/>
              </w:rPr>
              <w:t>days from the time of the change.</w:t>
            </w:r>
          </w:p>
        </w:tc>
        <w:tc>
          <w:tcPr>
            <w:tcW w:w="2700" w:type="dxa"/>
          </w:tcPr>
          <w:p w:rsidR="009D7AFD" w:rsidRPr="00B65B5B" w:rsidRDefault="009D7AFD" w:rsidP="00136A3A">
            <w:pPr>
              <w:pStyle w:val="ListNumber"/>
              <w:numPr>
                <w:ilvl w:val="0"/>
                <w:numId w:val="0"/>
              </w:numPr>
              <w:rPr>
                <w:color w:val="FFFFFF"/>
                <w:sz w:val="20"/>
                <w:szCs w:val="20"/>
              </w:rPr>
            </w:pPr>
            <w:r w:rsidRPr="00B65B5B">
              <w:rPr>
                <w:sz w:val="20"/>
                <w:szCs w:val="20"/>
              </w:rPr>
              <w:t>The Generator Owner failed to supply the information required in R6</w:t>
            </w:r>
            <w:r>
              <w:rPr>
                <w:sz w:val="20"/>
                <w:szCs w:val="20"/>
              </w:rPr>
              <w:t xml:space="preserve"> within </w:t>
            </w:r>
            <w:r w:rsidR="00136A3A">
              <w:rPr>
                <w:sz w:val="20"/>
                <w:szCs w:val="20"/>
              </w:rPr>
              <w:t>75</w:t>
            </w:r>
            <w:r>
              <w:rPr>
                <w:sz w:val="20"/>
                <w:szCs w:val="20"/>
              </w:rPr>
              <w:t xml:space="preserve"> days from the time of the change</w:t>
            </w:r>
            <w:r w:rsidRPr="00B65B5B">
              <w:rPr>
                <w:sz w:val="20"/>
                <w:szCs w:val="20"/>
              </w:rPr>
              <w:t>.</w:t>
            </w:r>
          </w:p>
        </w:tc>
      </w:tr>
    </w:tbl>
    <w:p w:rsidR="00D47012" w:rsidRDefault="00D47012" w:rsidP="002078B4">
      <w:pPr>
        <w:pStyle w:val="ListNumber"/>
        <w:numPr>
          <w:ilvl w:val="0"/>
          <w:numId w:val="0"/>
        </w:numPr>
        <w:tabs>
          <w:tab w:val="clear" w:pos="2160"/>
        </w:tabs>
        <w:ind w:left="1440" w:hanging="720"/>
      </w:pPr>
    </w:p>
    <w:p w:rsidR="00D47012" w:rsidRDefault="00D47012">
      <w:pPr>
        <w:pStyle w:val="Section"/>
        <w:spacing w:before="240"/>
        <w:rPr>
          <w:szCs w:val="22"/>
        </w:rPr>
      </w:pPr>
      <w:r>
        <w:rPr>
          <w:szCs w:val="22"/>
        </w:rPr>
        <w:t>Regional Variances</w:t>
      </w:r>
    </w:p>
    <w:p w:rsidR="00D47012" w:rsidRDefault="00D47012">
      <w:pPr>
        <w:pStyle w:val="ListNumber"/>
        <w:numPr>
          <w:ilvl w:val="0"/>
          <w:numId w:val="0"/>
        </w:numPr>
        <w:ind w:left="720"/>
      </w:pPr>
      <w:r>
        <w:t>None</w:t>
      </w:r>
    </w:p>
    <w:p w:rsidR="00D47012" w:rsidRDefault="00D47012">
      <w:pPr>
        <w:pStyle w:val="Section"/>
      </w:pPr>
      <w:r>
        <w:t>References</w:t>
      </w:r>
    </w:p>
    <w:p w:rsidR="00D47012" w:rsidRDefault="00D47012">
      <w:pPr>
        <w:pStyle w:val="ListNumber"/>
        <w:numPr>
          <w:ilvl w:val="0"/>
          <w:numId w:val="0"/>
        </w:numPr>
        <w:tabs>
          <w:tab w:val="clear" w:pos="2160"/>
          <w:tab w:val="left" w:pos="900"/>
        </w:tabs>
        <w:ind w:left="720"/>
        <w:rPr>
          <w:szCs w:val="22"/>
        </w:rPr>
      </w:pPr>
      <w:r>
        <w:rPr>
          <w:szCs w:val="22"/>
        </w:rPr>
        <w:t>“The Technical Justification for the New WECC Voltage Ride-Through (VRT) Standard, A White Paper Developed by the Wind Generation Task Force (WGTF),” dated June 13, 2007, a guideline approved by WECC Technical Studies Subcommittee.</w:t>
      </w:r>
    </w:p>
    <w:p w:rsidR="00D47012" w:rsidRDefault="00D47012">
      <w:pPr>
        <w:jc w:val="center"/>
        <w:rPr>
          <w:rFonts w:ascii="Arial" w:hAnsi="Arial" w:cs="Arial"/>
        </w:rPr>
      </w:pPr>
      <w:r>
        <w:br w:type="page"/>
      </w:r>
      <w:r>
        <w:rPr>
          <w:rFonts w:ascii="Arial" w:hAnsi="Arial" w:cs="Arial"/>
          <w:b/>
        </w:rPr>
        <w:lastRenderedPageBreak/>
        <w:t xml:space="preserve"> PRC-024 — Attachment 1</w:t>
      </w:r>
    </w:p>
    <w:p w:rsidR="00D47012" w:rsidRDefault="009B10C5">
      <w:r>
        <w:rPr>
          <w:noProof/>
        </w:rPr>
        <w:pict>
          <v:shape id="_x0000_s1027" type="#_x0000_t202" style="position:absolute;margin-left:78pt;margin-top:142.55pt;width:66pt;height:32.6pt;z-index:251659264">
            <v:textbox>
              <w:txbxContent>
                <w:p w:rsidR="00D47012" w:rsidRDefault="00D47012">
                  <w:pPr>
                    <w:jc w:val="center"/>
                  </w:pPr>
                  <w:r>
                    <w:t>No Trip</w:t>
                  </w:r>
                </w:p>
                <w:p w:rsidR="00D47012" w:rsidRDefault="00D47012">
                  <w:pPr>
                    <w:jc w:val="center"/>
                  </w:pPr>
                  <w:r>
                    <w:t>Zone</w:t>
                  </w:r>
                </w:p>
              </w:txbxContent>
            </v:textbox>
          </v:shape>
        </w:pict>
      </w:r>
      <w:r w:rsidR="002E5F71">
        <w:rPr>
          <w:noProof/>
        </w:rPr>
        <w:drawing>
          <wp:inline distT="0" distB="0" distL="0" distR="0">
            <wp:extent cx="6086475" cy="427672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3"/>
        <w:gridCol w:w="1560"/>
        <w:gridCol w:w="1559"/>
        <w:gridCol w:w="1559"/>
        <w:gridCol w:w="1559"/>
      </w:tblGrid>
      <w:tr w:rsidR="00D47012">
        <w:tc>
          <w:tcPr>
            <w:tcW w:w="3123" w:type="dxa"/>
            <w:vAlign w:val="center"/>
          </w:tcPr>
          <w:p w:rsidR="00D47012" w:rsidRDefault="00D47012">
            <w:pPr>
              <w:spacing w:before="120"/>
              <w:jc w:val="center"/>
            </w:pPr>
            <w:r>
              <w:t>Frequency (hertz)</w:t>
            </w:r>
          </w:p>
        </w:tc>
        <w:tc>
          <w:tcPr>
            <w:tcW w:w="1560" w:type="dxa"/>
            <w:vAlign w:val="center"/>
          </w:tcPr>
          <w:p w:rsidR="00D47012" w:rsidRDefault="00D47012">
            <w:pPr>
              <w:spacing w:before="120"/>
              <w:jc w:val="center"/>
            </w:pPr>
            <w:r>
              <w:t>57.8</w:t>
            </w:r>
          </w:p>
        </w:tc>
        <w:tc>
          <w:tcPr>
            <w:tcW w:w="1559" w:type="dxa"/>
            <w:vAlign w:val="center"/>
          </w:tcPr>
          <w:p w:rsidR="00D47012" w:rsidRDefault="00D47012">
            <w:pPr>
              <w:spacing w:before="120"/>
              <w:jc w:val="center"/>
            </w:pPr>
            <w:r>
              <w:t>59.5</w:t>
            </w:r>
          </w:p>
        </w:tc>
        <w:tc>
          <w:tcPr>
            <w:tcW w:w="1559" w:type="dxa"/>
            <w:vAlign w:val="center"/>
          </w:tcPr>
          <w:p w:rsidR="00D47012" w:rsidRDefault="00D47012">
            <w:pPr>
              <w:spacing w:before="120"/>
              <w:jc w:val="center"/>
            </w:pPr>
            <w:r>
              <w:t>62.2</w:t>
            </w:r>
          </w:p>
        </w:tc>
        <w:tc>
          <w:tcPr>
            <w:tcW w:w="1559" w:type="dxa"/>
            <w:vAlign w:val="center"/>
          </w:tcPr>
          <w:p w:rsidR="00D47012" w:rsidRDefault="00D47012">
            <w:pPr>
              <w:spacing w:before="120"/>
              <w:jc w:val="center"/>
            </w:pPr>
            <w:r>
              <w:t>60.5</w:t>
            </w:r>
          </w:p>
        </w:tc>
      </w:tr>
      <w:tr w:rsidR="00D47012">
        <w:tc>
          <w:tcPr>
            <w:tcW w:w="3123" w:type="dxa"/>
            <w:vAlign w:val="center"/>
          </w:tcPr>
          <w:p w:rsidR="00D47012" w:rsidRDefault="00D47012">
            <w:pPr>
              <w:spacing w:before="120"/>
              <w:jc w:val="center"/>
            </w:pPr>
            <w:r>
              <w:t>Time (seconds)</w:t>
            </w:r>
          </w:p>
        </w:tc>
        <w:tc>
          <w:tcPr>
            <w:tcW w:w="1560" w:type="dxa"/>
            <w:vAlign w:val="center"/>
          </w:tcPr>
          <w:p w:rsidR="00D47012" w:rsidRDefault="00D47012">
            <w:pPr>
              <w:spacing w:before="120"/>
              <w:jc w:val="center"/>
            </w:pPr>
            <w:r>
              <w:t>0 to 2</w:t>
            </w:r>
          </w:p>
        </w:tc>
        <w:tc>
          <w:tcPr>
            <w:tcW w:w="1559" w:type="dxa"/>
            <w:vAlign w:val="center"/>
          </w:tcPr>
          <w:p w:rsidR="00D47012" w:rsidRDefault="00D47012">
            <w:pPr>
              <w:spacing w:before="120"/>
              <w:jc w:val="center"/>
            </w:pPr>
            <w:r>
              <w:t>Over 1800</w:t>
            </w:r>
          </w:p>
        </w:tc>
        <w:tc>
          <w:tcPr>
            <w:tcW w:w="1559" w:type="dxa"/>
            <w:vAlign w:val="center"/>
          </w:tcPr>
          <w:p w:rsidR="00D47012" w:rsidRDefault="00D47012">
            <w:pPr>
              <w:spacing w:before="120"/>
              <w:jc w:val="center"/>
            </w:pPr>
            <w:r>
              <w:t>0 to 2</w:t>
            </w:r>
          </w:p>
        </w:tc>
        <w:tc>
          <w:tcPr>
            <w:tcW w:w="1559" w:type="dxa"/>
            <w:vAlign w:val="center"/>
          </w:tcPr>
          <w:p w:rsidR="00D47012" w:rsidRDefault="00D47012">
            <w:pPr>
              <w:spacing w:before="120"/>
              <w:jc w:val="center"/>
            </w:pPr>
            <w:r>
              <w:t>Over 600</w:t>
            </w:r>
          </w:p>
        </w:tc>
      </w:tr>
    </w:tbl>
    <w:p w:rsidR="00D47012" w:rsidRDefault="00D47012">
      <w:pPr>
        <w:jc w:val="center"/>
        <w:rPr>
          <w:rFonts w:ascii="Arial" w:hAnsi="Arial" w:cs="Arial"/>
          <w:b/>
        </w:rPr>
      </w:pPr>
      <w:r>
        <w:br w:type="page"/>
      </w:r>
      <w:r>
        <w:rPr>
          <w:rFonts w:ascii="Arial" w:hAnsi="Arial" w:cs="Arial"/>
          <w:b/>
        </w:rPr>
        <w:lastRenderedPageBreak/>
        <w:t xml:space="preserve"> PRC-024</w:t>
      </w:r>
      <w:r>
        <w:rPr>
          <w:b/>
        </w:rPr>
        <w:t>—</w:t>
      </w:r>
      <w:r>
        <w:rPr>
          <w:rFonts w:ascii="Arial" w:hAnsi="Arial" w:cs="Arial"/>
          <w:b/>
        </w:rPr>
        <w:t xml:space="preserve"> Attachment 2</w:t>
      </w:r>
    </w:p>
    <w:p w:rsidR="00D47012" w:rsidRDefault="0074277A">
      <w:pPr>
        <w:jc w:val="center"/>
        <w:rPr>
          <w:rFonts w:ascii="Arial" w:hAnsi="Arial" w:cs="Arial"/>
          <w:b/>
        </w:rPr>
      </w:pPr>
      <w:r>
        <w:rPr>
          <w:noProof/>
        </w:rPr>
        <w:drawing>
          <wp:inline distT="0" distB="0" distL="0" distR="0">
            <wp:extent cx="5734050" cy="610552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34050" cy="6105525"/>
                    </a:xfrm>
                    <a:prstGeom prst="rect">
                      <a:avLst/>
                    </a:prstGeom>
                    <a:noFill/>
                    <a:ln w="9525">
                      <a:noFill/>
                      <a:miter lim="800000"/>
                      <a:headEnd/>
                      <a:tailEnd/>
                    </a:ln>
                  </pic:spPr>
                </pic:pic>
              </a:graphicData>
            </a:graphic>
          </wp:inline>
        </w:drawing>
      </w:r>
    </w:p>
    <w:p w:rsidR="00D47012" w:rsidRDefault="00D47012">
      <w:pPr>
        <w:jc w:val="center"/>
        <w:rPr>
          <w:szCs w:val="28"/>
        </w:rPr>
      </w:pPr>
    </w:p>
    <w:p w:rsidR="00D47012" w:rsidRDefault="00D47012">
      <w:pPr>
        <w:jc w:val="center"/>
        <w:rPr>
          <w:rFonts w:ascii="Arial" w:hAnsi="Arial" w:cs="Arial"/>
          <w:color w:val="0000FF"/>
          <w:sz w:val="20"/>
          <w:szCs w:val="20"/>
        </w:rPr>
      </w:pPr>
    </w:p>
    <w:p w:rsidR="00D47012" w:rsidRDefault="00D47012">
      <w:pPr>
        <w:rPr>
          <w:rFonts w:ascii="Arial" w:hAnsi="Arial" w:cs="Arial"/>
          <w:color w:val="0000FF"/>
          <w:sz w:val="20"/>
          <w:szCs w:val="20"/>
        </w:rPr>
      </w:pPr>
    </w:p>
    <w:p w:rsidR="00D47012" w:rsidRDefault="00D47012">
      <w:pPr>
        <w:rPr>
          <w:rFonts w:ascii="Arial" w:hAnsi="Arial" w:cs="Arial"/>
          <w:color w:val="0000FF"/>
          <w:sz w:val="20"/>
          <w:szCs w:val="20"/>
        </w:rPr>
      </w:pPr>
    </w:p>
    <w:p w:rsidR="00D47012" w:rsidRDefault="00D47012">
      <w:pPr>
        <w:rPr>
          <w:rFonts w:ascii="Arial" w:hAnsi="Arial" w:cs="Arial"/>
          <w:color w:val="0000FF"/>
          <w:sz w:val="20"/>
          <w:szCs w:val="20"/>
        </w:rPr>
      </w:pPr>
    </w:p>
    <w:p w:rsidR="00D47012" w:rsidRDefault="00D47012">
      <w:pPr>
        <w:rPr>
          <w:b/>
          <w:color w:val="000000"/>
          <w:szCs w:val="22"/>
        </w:rPr>
      </w:pPr>
      <w:r>
        <w:rPr>
          <w:rFonts w:ascii="Arial" w:hAnsi="Arial" w:cs="Arial"/>
          <w:color w:val="000000"/>
          <w:sz w:val="20"/>
          <w:szCs w:val="20"/>
        </w:rPr>
        <w:br w:type="page"/>
      </w:r>
      <w:r>
        <w:rPr>
          <w:rFonts w:ascii="Arial" w:hAnsi="Arial" w:cs="Arial"/>
          <w:b/>
          <w:color w:val="000000"/>
          <w:szCs w:val="22"/>
        </w:rPr>
        <w:lastRenderedPageBreak/>
        <w:t xml:space="preserve">The following data points apply to this curve: </w:t>
      </w:r>
    </w:p>
    <w:p w:rsidR="00D47012" w:rsidRDefault="00D47012">
      <w:pPr>
        <w:rPr>
          <w:rFonts w:ascii="Arial" w:hAnsi="Arial" w:cs="Arial"/>
          <w:color w:val="0000FF"/>
          <w:sz w:val="20"/>
          <w:szCs w:val="20"/>
        </w:rPr>
      </w:pPr>
    </w:p>
    <w:tbl>
      <w:tblPr>
        <w:tblW w:w="6127" w:type="dxa"/>
        <w:jc w:val="center"/>
        <w:tblInd w:w="98" w:type="dxa"/>
        <w:tblLook w:val="0000"/>
      </w:tblPr>
      <w:tblGrid>
        <w:gridCol w:w="1315"/>
        <w:gridCol w:w="1509"/>
        <w:gridCol w:w="480"/>
        <w:gridCol w:w="1320"/>
        <w:gridCol w:w="1503"/>
      </w:tblGrid>
      <w:tr w:rsidR="00C45FF0" w:rsidTr="00BE679F">
        <w:trPr>
          <w:trHeight w:val="270"/>
          <w:jc w:val="center"/>
        </w:trPr>
        <w:tc>
          <w:tcPr>
            <w:tcW w:w="2824" w:type="dxa"/>
            <w:gridSpan w:val="2"/>
            <w:tcBorders>
              <w:top w:val="single" w:sz="8" w:space="0" w:color="auto"/>
              <w:left w:val="single" w:sz="8" w:space="0" w:color="auto"/>
              <w:right w:val="single" w:sz="8" w:space="0" w:color="000000"/>
            </w:tcBorders>
            <w:shd w:val="clear" w:color="auto" w:fill="264D74"/>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HVRT DURATION</w:t>
            </w:r>
          </w:p>
        </w:tc>
        <w:tc>
          <w:tcPr>
            <w:tcW w:w="480" w:type="dxa"/>
            <w:tcBorders>
              <w:top w:val="nil"/>
              <w:left w:val="nil"/>
              <w:bottom w:val="nil"/>
              <w:right w:val="nil"/>
            </w:tcBorders>
            <w:noWrap/>
            <w:vAlign w:val="bottom"/>
          </w:tcPr>
          <w:p w:rsidR="00C45FF0" w:rsidRDefault="00C45FF0" w:rsidP="00BE679F">
            <w:pPr>
              <w:spacing w:before="120"/>
              <w:jc w:val="center"/>
              <w:rPr>
                <w:rFonts w:ascii="Arial" w:hAnsi="Arial" w:cs="Arial"/>
                <w:b/>
                <w:bCs/>
                <w:color w:val="FFFFFF"/>
                <w:sz w:val="20"/>
                <w:szCs w:val="20"/>
              </w:rPr>
            </w:pPr>
          </w:p>
        </w:tc>
        <w:tc>
          <w:tcPr>
            <w:tcW w:w="2823" w:type="dxa"/>
            <w:gridSpan w:val="2"/>
            <w:tcBorders>
              <w:top w:val="single" w:sz="8" w:space="0" w:color="auto"/>
              <w:left w:val="single" w:sz="8" w:space="0" w:color="auto"/>
              <w:right w:val="single" w:sz="8" w:space="0" w:color="000000"/>
            </w:tcBorders>
            <w:shd w:val="clear" w:color="auto" w:fill="264D74"/>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LVRT DURATION</w:t>
            </w:r>
          </w:p>
        </w:tc>
      </w:tr>
      <w:tr w:rsidR="00C45FF0" w:rsidTr="00BE679F">
        <w:trPr>
          <w:trHeight w:val="255"/>
          <w:jc w:val="center"/>
        </w:trPr>
        <w:tc>
          <w:tcPr>
            <w:tcW w:w="1315" w:type="dxa"/>
            <w:tcBorders>
              <w:top w:val="nil"/>
              <w:left w:val="single" w:sz="8" w:space="0" w:color="auto"/>
              <w:bottom w:val="nil"/>
              <w:right w:val="nil"/>
            </w:tcBorders>
            <w:shd w:val="clear" w:color="auto" w:fill="5D85A9"/>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Time (Sec)</w:t>
            </w:r>
          </w:p>
        </w:tc>
        <w:tc>
          <w:tcPr>
            <w:tcW w:w="1509" w:type="dxa"/>
            <w:tcBorders>
              <w:top w:val="nil"/>
              <w:left w:val="nil"/>
              <w:bottom w:val="nil"/>
              <w:right w:val="single" w:sz="8" w:space="0" w:color="auto"/>
            </w:tcBorders>
            <w:shd w:val="clear" w:color="auto" w:fill="5D85A9"/>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Voltage (p.u.)</w:t>
            </w:r>
          </w:p>
        </w:tc>
        <w:tc>
          <w:tcPr>
            <w:tcW w:w="480" w:type="dxa"/>
            <w:tcBorders>
              <w:top w:val="nil"/>
              <w:left w:val="nil"/>
              <w:bottom w:val="nil"/>
              <w:right w:val="nil"/>
            </w:tcBorders>
            <w:noWrap/>
            <w:vAlign w:val="bottom"/>
          </w:tcPr>
          <w:p w:rsidR="00C45FF0" w:rsidRDefault="00C45FF0" w:rsidP="00BE679F">
            <w:pPr>
              <w:spacing w:before="120"/>
              <w:jc w:val="center"/>
              <w:rPr>
                <w:rFonts w:ascii="Arial" w:hAnsi="Arial" w:cs="Arial"/>
                <w:b/>
                <w:bCs/>
                <w:sz w:val="20"/>
                <w:szCs w:val="20"/>
              </w:rPr>
            </w:pPr>
          </w:p>
        </w:tc>
        <w:tc>
          <w:tcPr>
            <w:tcW w:w="1320" w:type="dxa"/>
            <w:tcBorders>
              <w:top w:val="nil"/>
              <w:left w:val="single" w:sz="8" w:space="0" w:color="auto"/>
              <w:bottom w:val="nil"/>
              <w:right w:val="nil"/>
            </w:tcBorders>
            <w:shd w:val="clear" w:color="auto" w:fill="5D85A9"/>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Time (Sec)</w:t>
            </w:r>
          </w:p>
        </w:tc>
        <w:tc>
          <w:tcPr>
            <w:tcW w:w="1503" w:type="dxa"/>
            <w:tcBorders>
              <w:top w:val="nil"/>
              <w:left w:val="nil"/>
              <w:bottom w:val="nil"/>
              <w:right w:val="single" w:sz="8" w:space="0" w:color="auto"/>
            </w:tcBorders>
            <w:shd w:val="clear" w:color="auto" w:fill="5D85A9"/>
            <w:noWrap/>
            <w:vAlign w:val="bottom"/>
          </w:tcPr>
          <w:p w:rsidR="00C45FF0" w:rsidRDefault="00C45FF0" w:rsidP="00BE679F">
            <w:pPr>
              <w:spacing w:before="120"/>
              <w:jc w:val="center"/>
              <w:rPr>
                <w:rFonts w:ascii="Arial" w:hAnsi="Arial" w:cs="Arial"/>
                <w:b/>
                <w:bCs/>
                <w:color w:val="FFFFFF"/>
                <w:sz w:val="20"/>
                <w:szCs w:val="20"/>
              </w:rPr>
            </w:pPr>
            <w:r>
              <w:rPr>
                <w:rFonts w:ascii="Arial" w:hAnsi="Arial" w:cs="Arial"/>
                <w:b/>
                <w:bCs/>
                <w:color w:val="FFFFFF"/>
                <w:sz w:val="20"/>
                <w:szCs w:val="20"/>
              </w:rPr>
              <w:t>Voltage (p.u.)</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0.20 </w:t>
            </w: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1.200</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0.15</w:t>
            </w: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0.000</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0.50 </w:t>
            </w: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1.175</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0.30</w:t>
            </w: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0.450</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1.00 </w:t>
            </w: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1.150</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2.00</w:t>
            </w: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0.650</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600</w:t>
            </w: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1.100</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3.00</w:t>
            </w: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0.750</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600</w:t>
            </w: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0.900</w:t>
            </w: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r>
      <w:tr w:rsidR="00C45FF0" w:rsidTr="00BE679F">
        <w:trPr>
          <w:trHeight w:val="255"/>
          <w:jc w:val="center"/>
        </w:trPr>
        <w:tc>
          <w:tcPr>
            <w:tcW w:w="1315"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 </w:t>
            </w:r>
          </w:p>
        </w:tc>
        <w:tc>
          <w:tcPr>
            <w:tcW w:w="1509"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 </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503" w:type="dxa"/>
            <w:tcBorders>
              <w:top w:val="nil"/>
              <w:left w:val="nil"/>
              <w:bottom w:val="nil"/>
              <w:right w:val="single" w:sz="8" w:space="0" w:color="auto"/>
            </w:tcBorders>
            <w:noWrap/>
            <w:vAlign w:val="bottom"/>
          </w:tcPr>
          <w:p w:rsidR="00C45FF0" w:rsidRDefault="00C45FF0" w:rsidP="00BE679F">
            <w:pPr>
              <w:spacing w:before="60" w:after="60"/>
              <w:jc w:val="center"/>
              <w:rPr>
                <w:rFonts w:ascii="Arial" w:hAnsi="Arial" w:cs="Arial"/>
                <w:sz w:val="20"/>
                <w:szCs w:val="20"/>
              </w:rPr>
            </w:pPr>
          </w:p>
        </w:tc>
      </w:tr>
      <w:tr w:rsidR="00C45FF0" w:rsidTr="00BE679F">
        <w:trPr>
          <w:trHeight w:val="270"/>
          <w:jc w:val="center"/>
        </w:trPr>
        <w:tc>
          <w:tcPr>
            <w:tcW w:w="1315" w:type="dxa"/>
            <w:tcBorders>
              <w:top w:val="nil"/>
              <w:left w:val="single" w:sz="8" w:space="0" w:color="auto"/>
              <w:bottom w:val="single" w:sz="8" w:space="0" w:color="auto"/>
              <w:right w:val="nil"/>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 </w:t>
            </w:r>
          </w:p>
        </w:tc>
        <w:tc>
          <w:tcPr>
            <w:tcW w:w="1509" w:type="dxa"/>
            <w:tcBorders>
              <w:top w:val="nil"/>
              <w:left w:val="nil"/>
              <w:bottom w:val="single" w:sz="8" w:space="0" w:color="auto"/>
              <w:right w:val="single" w:sz="8" w:space="0" w:color="auto"/>
            </w:tcBorders>
            <w:noWrap/>
            <w:vAlign w:val="bottom"/>
          </w:tcPr>
          <w:p w:rsidR="00C45FF0" w:rsidRDefault="00C45FF0" w:rsidP="00BE679F">
            <w:pPr>
              <w:spacing w:before="60" w:after="60"/>
              <w:jc w:val="center"/>
              <w:rPr>
                <w:rFonts w:ascii="Arial" w:hAnsi="Arial" w:cs="Arial"/>
                <w:sz w:val="20"/>
                <w:szCs w:val="20"/>
              </w:rPr>
            </w:pPr>
            <w:r>
              <w:rPr>
                <w:rFonts w:ascii="Arial" w:hAnsi="Arial" w:cs="Arial"/>
                <w:sz w:val="20"/>
                <w:szCs w:val="20"/>
              </w:rPr>
              <w:t> </w:t>
            </w:r>
          </w:p>
        </w:tc>
        <w:tc>
          <w:tcPr>
            <w:tcW w:w="480" w:type="dxa"/>
            <w:tcBorders>
              <w:top w:val="nil"/>
              <w:left w:val="nil"/>
              <w:bottom w:val="nil"/>
              <w:right w:val="nil"/>
            </w:tcBorders>
            <w:noWrap/>
            <w:vAlign w:val="bottom"/>
          </w:tcPr>
          <w:p w:rsidR="00C45FF0" w:rsidRDefault="00C45FF0" w:rsidP="00BE679F">
            <w:pPr>
              <w:spacing w:before="60" w:after="60"/>
              <w:jc w:val="center"/>
              <w:rPr>
                <w:rFonts w:ascii="Arial" w:hAnsi="Arial" w:cs="Arial"/>
                <w:sz w:val="20"/>
                <w:szCs w:val="20"/>
              </w:rPr>
            </w:pPr>
          </w:p>
        </w:tc>
        <w:tc>
          <w:tcPr>
            <w:tcW w:w="1320" w:type="dxa"/>
            <w:tcBorders>
              <w:top w:val="nil"/>
              <w:left w:val="single" w:sz="8" w:space="0" w:color="auto"/>
              <w:bottom w:val="single" w:sz="8" w:space="0" w:color="auto"/>
              <w:right w:val="nil"/>
            </w:tcBorders>
            <w:noWrap/>
            <w:vAlign w:val="bottom"/>
          </w:tcPr>
          <w:p w:rsidR="00C45FF0" w:rsidRDefault="00C45FF0" w:rsidP="00BE679F">
            <w:pPr>
              <w:spacing w:before="60" w:after="60"/>
              <w:jc w:val="center"/>
              <w:rPr>
                <w:rFonts w:ascii="Arial" w:hAnsi="Arial" w:cs="Arial"/>
                <w:sz w:val="20"/>
                <w:szCs w:val="20"/>
              </w:rPr>
            </w:pPr>
          </w:p>
        </w:tc>
        <w:tc>
          <w:tcPr>
            <w:tcW w:w="1503" w:type="dxa"/>
            <w:tcBorders>
              <w:top w:val="nil"/>
              <w:left w:val="nil"/>
              <w:bottom w:val="single" w:sz="8" w:space="0" w:color="auto"/>
              <w:right w:val="single" w:sz="8" w:space="0" w:color="auto"/>
            </w:tcBorders>
            <w:noWrap/>
            <w:vAlign w:val="bottom"/>
          </w:tcPr>
          <w:p w:rsidR="00C45FF0" w:rsidRDefault="00C45FF0" w:rsidP="00BE679F">
            <w:pPr>
              <w:spacing w:before="60" w:after="60"/>
              <w:jc w:val="center"/>
              <w:rPr>
                <w:rFonts w:ascii="Arial" w:hAnsi="Arial" w:cs="Arial"/>
                <w:sz w:val="20"/>
                <w:szCs w:val="20"/>
              </w:rPr>
            </w:pPr>
          </w:p>
        </w:tc>
      </w:tr>
    </w:tbl>
    <w:p w:rsidR="00D47012" w:rsidRDefault="00D47012">
      <w:pPr>
        <w:rPr>
          <w:b/>
          <w:color w:val="000000"/>
          <w:sz w:val="28"/>
          <w:szCs w:val="28"/>
          <w:u w:val="single"/>
        </w:rPr>
      </w:pPr>
    </w:p>
    <w:p w:rsidR="00D47012" w:rsidRDefault="00D47012">
      <w:pPr>
        <w:rPr>
          <w:rFonts w:ascii="Arial" w:hAnsi="Arial" w:cs="Arial"/>
          <w:b/>
          <w:color w:val="000000"/>
        </w:rPr>
      </w:pPr>
      <w:r>
        <w:rPr>
          <w:rFonts w:ascii="Arial" w:hAnsi="Arial" w:cs="Arial"/>
          <w:b/>
          <w:color w:val="000000"/>
        </w:rPr>
        <w:t>Voltage Ride-Through Curve Clarifications</w:t>
      </w:r>
    </w:p>
    <w:p w:rsidR="00D47012" w:rsidRDefault="00D47012">
      <w:pPr>
        <w:numPr>
          <w:ilvl w:val="0"/>
          <w:numId w:val="13"/>
        </w:numPr>
        <w:spacing w:after="120"/>
        <w:rPr>
          <w:color w:val="000000"/>
        </w:rPr>
      </w:pPr>
      <w:r>
        <w:rPr>
          <w:color w:val="000000"/>
        </w:rPr>
        <w:t xml:space="preserve">The per unit voltage base for this curve is the scheduled operating voltage as measured at the point of interconnection to the Bulk Electric System. </w:t>
      </w:r>
    </w:p>
    <w:p w:rsidR="00D47012" w:rsidRPr="00C05F00" w:rsidRDefault="00D47012">
      <w:pPr>
        <w:numPr>
          <w:ilvl w:val="0"/>
          <w:numId w:val="13"/>
        </w:numPr>
        <w:spacing w:after="120"/>
        <w:rPr>
          <w:color w:val="000000"/>
        </w:rPr>
      </w:pPr>
      <w:r w:rsidRPr="00C05F00">
        <w:rPr>
          <w:color w:val="000000"/>
        </w:rPr>
        <w:t xml:space="preserve">The curves depicted in this Attachment 2 are applicable for a </w:t>
      </w:r>
      <w:r w:rsidRPr="00C05F00">
        <w:t>three-phase transmission system zone 1 faults with Normal Clearing.</w:t>
      </w:r>
    </w:p>
    <w:p w:rsidR="00D47012" w:rsidRDefault="00D47012">
      <w:pPr>
        <w:numPr>
          <w:ilvl w:val="0"/>
          <w:numId w:val="13"/>
        </w:numPr>
        <w:spacing w:after="120"/>
        <w:rPr>
          <w:color w:val="000000"/>
        </w:rPr>
      </w:pPr>
      <w:r>
        <w:rPr>
          <w:color w:val="000000"/>
        </w:rPr>
        <w:t xml:space="preserve">As long as the cumulative voltage duration at the point of interconnection with the Bulk Electric System is within the voltage boundaries of the curve, the generator voltage protective relaying will not trip the generator. </w:t>
      </w:r>
    </w:p>
    <w:p w:rsidR="00D47012" w:rsidRDefault="00D47012">
      <w:pPr>
        <w:numPr>
          <w:ilvl w:val="0"/>
          <w:numId w:val="13"/>
        </w:numPr>
        <w:spacing w:after="120"/>
        <w:rPr>
          <w:u w:val="single"/>
        </w:rPr>
      </w:pPr>
      <w:r>
        <w:t>The curves depicted in this Attachment 2 assume system frequency of 60 Hertz.</w:t>
      </w:r>
      <w:r>
        <w:rPr>
          <w:color w:val="000000"/>
        </w:rPr>
        <w:t xml:space="preserve"> </w:t>
      </w:r>
    </w:p>
    <w:p w:rsidR="00D47012" w:rsidRDefault="00D47012">
      <w:pPr>
        <w:numPr>
          <w:ilvl w:val="0"/>
          <w:numId w:val="13"/>
        </w:numPr>
        <w:spacing w:after="120"/>
        <w:rPr>
          <w:u w:val="single"/>
        </w:rPr>
      </w:pPr>
      <w:r>
        <w:t xml:space="preserve">Voltage protection relay setting calculations may be based on the static case, for steady state initial conditions using the following assumptions: </w:t>
      </w:r>
    </w:p>
    <w:p w:rsidR="00D47012" w:rsidRDefault="00D47012">
      <w:pPr>
        <w:numPr>
          <w:ilvl w:val="1"/>
          <w:numId w:val="13"/>
        </w:numPr>
        <w:spacing w:after="120"/>
        <w:rPr>
          <w:u w:val="single"/>
        </w:rPr>
      </w:pPr>
      <w:r>
        <w:t xml:space="preserve">All of the units connected to the same transformer are on line and operating, </w:t>
      </w:r>
    </w:p>
    <w:p w:rsidR="00D47012" w:rsidRDefault="00D47012">
      <w:pPr>
        <w:numPr>
          <w:ilvl w:val="1"/>
          <w:numId w:val="13"/>
        </w:numPr>
        <w:spacing w:after="120"/>
        <w:rPr>
          <w:u w:val="single"/>
        </w:rPr>
      </w:pPr>
      <w:r>
        <w:t>All of the units are at full nameplate real-power output.</w:t>
      </w:r>
      <w:r>
        <w:rPr>
          <w:color w:val="000000"/>
        </w:rPr>
        <w:t xml:space="preserve"> </w:t>
      </w:r>
    </w:p>
    <w:p w:rsidR="00D47012" w:rsidRDefault="00D47012">
      <w:pPr>
        <w:numPr>
          <w:ilvl w:val="1"/>
          <w:numId w:val="13"/>
        </w:numPr>
        <w:spacing w:after="120"/>
        <w:rPr>
          <w:u w:val="single"/>
        </w:rPr>
      </w:pPr>
      <w:r>
        <w:rPr>
          <w:color w:val="000000"/>
        </w:rPr>
        <w:t>Power factor of 0.95 lagging.</w:t>
      </w:r>
    </w:p>
    <w:p w:rsidR="00D47012" w:rsidRDefault="00D47012">
      <w:pPr>
        <w:numPr>
          <w:ilvl w:val="1"/>
          <w:numId w:val="13"/>
        </w:numPr>
        <w:spacing w:after="120"/>
      </w:pPr>
      <w:r>
        <w:t xml:space="preserve">Scheduled voltage as measured at point of interconnection. </w:t>
      </w:r>
    </w:p>
    <w:p w:rsidR="00D47012" w:rsidRDefault="00D47012">
      <w:pPr>
        <w:numPr>
          <w:ilvl w:val="0"/>
          <w:numId w:val="13"/>
        </w:numPr>
        <w:spacing w:after="120"/>
        <w:rPr>
          <w:u w:val="single"/>
        </w:rPr>
      </w:pPr>
      <w:r>
        <w:t>Voltage protection relay settings will be calculated to comply with Attachment 2 assuming that any additional installed generating plant reactive support equipment (such as static VAr compensators, synchronous condensers, or capacitors) is available and operating normally.</w:t>
      </w:r>
    </w:p>
    <w:p w:rsidR="00D47012" w:rsidRDefault="00D47012">
      <w:pPr>
        <w:numPr>
          <w:ilvl w:val="0"/>
          <w:numId w:val="13"/>
        </w:numPr>
        <w:spacing w:after="120"/>
      </w:pPr>
      <w:r>
        <w:t>Voltage protection relay settings will be calculated to comply with Attachment 2 accounting for the actual tap settings of transformers between the generator terminals and the POI.</w:t>
      </w:r>
    </w:p>
    <w:sectPr w:rsidR="00D47012" w:rsidSect="006609DC">
      <w:headerReference w:type="default" r:id="rId9"/>
      <w:footerReference w:type="default" r:id="rId10"/>
      <w:pgSz w:w="12240" w:h="15840"/>
      <w:pgMar w:top="1440" w:right="120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B67" w:rsidRDefault="00FD1B67">
      <w:r>
        <w:separator/>
      </w:r>
    </w:p>
  </w:endnote>
  <w:endnote w:type="continuationSeparator" w:id="0">
    <w:p w:rsidR="00FD1B67" w:rsidRDefault="00FD1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012" w:rsidRDefault="00D47012">
    <w:pPr>
      <w:pStyle w:val="Footer"/>
      <w:pBdr>
        <w:top w:val="none" w:sz="0" w:space="0" w:color="auto"/>
      </w:pBdr>
      <w:tabs>
        <w:tab w:val="clear" w:pos="8640"/>
        <w:tab w:val="right" w:pos="9360"/>
      </w:tabs>
      <w:spacing w:before="0" w:after="0"/>
    </w:pPr>
    <w:r>
      <w:tab/>
    </w:r>
    <w:r>
      <w:tab/>
    </w:r>
    <w:r w:rsidR="009B10C5">
      <w:rPr>
        <w:rStyle w:val="PageNumber"/>
      </w:rPr>
      <w:fldChar w:fldCharType="begin"/>
    </w:r>
    <w:r>
      <w:rPr>
        <w:rStyle w:val="PageNumber"/>
      </w:rPr>
      <w:instrText xml:space="preserve"> PAGE </w:instrText>
    </w:r>
    <w:r w:rsidR="009B10C5">
      <w:rPr>
        <w:rStyle w:val="PageNumber"/>
      </w:rPr>
      <w:fldChar w:fldCharType="separate"/>
    </w:r>
    <w:r w:rsidR="00E57780">
      <w:rPr>
        <w:rStyle w:val="PageNumber"/>
        <w:noProof/>
      </w:rPr>
      <w:t>7</w:t>
    </w:r>
    <w:r w:rsidR="009B10C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B67" w:rsidRDefault="00FD1B67">
      <w:r>
        <w:separator/>
      </w:r>
    </w:p>
  </w:footnote>
  <w:footnote w:type="continuationSeparator" w:id="0">
    <w:p w:rsidR="00FD1B67" w:rsidRDefault="00FD1B67">
      <w:r>
        <w:continuationSeparator/>
      </w:r>
    </w:p>
  </w:footnote>
  <w:footnote w:id="1">
    <w:p w:rsidR="00D47012" w:rsidRDefault="00D47012">
      <w:pPr>
        <w:pStyle w:val="FootnoteText"/>
      </w:pPr>
      <w:r>
        <w:rPr>
          <w:rStyle w:val="FootnoteReference"/>
        </w:rPr>
        <w:footnoteRef/>
      </w:r>
      <w:r>
        <w:t xml:space="preserve"> </w:t>
      </w:r>
      <w:r w:rsidRPr="00104B94">
        <w:t xml:space="preserve">Each Generator Owner is not required to have frequency </w:t>
      </w:r>
      <w:r>
        <w:t xml:space="preserve">or voltage </w:t>
      </w:r>
      <w:r w:rsidRPr="00104B94">
        <w:t>protective relaying (</w:t>
      </w:r>
      <w:r>
        <w:t>i</w:t>
      </w:r>
      <w:r w:rsidRPr="00104B94">
        <w:t>ncludes frequency and voltage protective functions for discrete relays, volts per hertz relays evaluated at nominal frequency, multi-function protective devices or protective functions within excitation controls that directly trip or provide tripping signals to the generator based</w:t>
      </w:r>
      <w:r>
        <w:t xml:space="preserve"> on frequency or voltage inputs</w:t>
      </w:r>
      <w:r w:rsidRPr="00104B94">
        <w:t>) installed or activated on its unit.</w:t>
      </w:r>
    </w:p>
  </w:footnote>
  <w:footnote w:id="2">
    <w:p w:rsidR="00D47012" w:rsidRDefault="00D47012" w:rsidP="0096540D">
      <w:pPr>
        <w:pStyle w:val="FootnoteText"/>
      </w:pPr>
      <w:r>
        <w:rPr>
          <w:rStyle w:val="FootnoteReference"/>
        </w:rPr>
        <w:footnoteRef/>
      </w:r>
      <w:r>
        <w:t xml:space="preserve"> Including generators under construction, generators with an executed interconnection agreement or Power Purchase Agreement by the effective date of this standard</w:t>
      </w:r>
      <w:r w:rsidR="00216866">
        <w:rPr>
          <w:i/>
          <w:iCs/>
        </w:rPr>
        <w:t>,</w:t>
      </w:r>
      <w:r>
        <w:t xml:space="preserve"> or generators with an executed equipment purchase contract and scheduled delivery of major components within 2 years of the effective date of version 1 of this standard.</w:t>
      </w:r>
    </w:p>
  </w:footnote>
  <w:footnote w:id="3">
    <w:p w:rsidR="00D47012" w:rsidRDefault="00D47012">
      <w:pPr>
        <w:pStyle w:val="FootnoteText"/>
      </w:pPr>
      <w:r>
        <w:rPr>
          <w:rStyle w:val="FootnoteReference"/>
        </w:rPr>
        <w:footnoteRef/>
      </w:r>
      <w:r>
        <w:t xml:space="preserve"> Excluding generators in service prior to the effective date of version 1 of this standard and excluding generators referenced in Footnote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012" w:rsidRDefault="00D47012">
    <w:pPr>
      <w:pStyle w:val="Header"/>
      <w:rPr>
        <w:sz w:val="22"/>
      </w:rPr>
    </w:pPr>
  </w:p>
  <w:p w:rsidR="00D47012" w:rsidRDefault="00D47012">
    <w:pPr>
      <w:pStyle w:val="Header"/>
      <w:rPr>
        <w:sz w:val="22"/>
      </w:rPr>
    </w:pPr>
    <w:r>
      <w:rPr>
        <w:sz w:val="22"/>
      </w:rPr>
      <w:t>Standard PRC-024-1 — Generator Performance During Frequency and Voltage Excursions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6BA8A1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9ECAE1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8DD8267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7E0277E2"/>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C9DA54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814032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F74EA7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1DC10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67A71C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2FCBC76"/>
    <w:lvl w:ilvl="0">
      <w:start w:val="1"/>
      <w:numFmt w:val="bullet"/>
      <w:lvlText w:val=""/>
      <w:lvlJc w:val="left"/>
      <w:pPr>
        <w:tabs>
          <w:tab w:val="num" w:pos="360"/>
        </w:tabs>
        <w:ind w:left="360" w:hanging="360"/>
      </w:pPr>
      <w:rPr>
        <w:rFonts w:ascii="Symbol" w:hAnsi="Symbol" w:hint="default"/>
      </w:rPr>
    </w:lvl>
  </w:abstractNum>
  <w:abstractNum w:abstractNumId="10">
    <w:nsid w:val="01193E93"/>
    <w:multiLevelType w:val="multilevel"/>
    <w:tmpl w:val="B4245F06"/>
    <w:lvl w:ilvl="0">
      <w:start w:val="1"/>
      <w:numFmt w:val="decimal"/>
      <w:pStyle w:val="ListNumber"/>
      <w:lvlText w:val="%1."/>
      <w:lvlJc w:val="left"/>
      <w:pPr>
        <w:tabs>
          <w:tab w:val="num" w:pos="1296"/>
        </w:tabs>
        <w:ind w:left="1296" w:hanging="576"/>
      </w:pPr>
      <w:rPr>
        <w:rFonts w:ascii="Times New Roman" w:hAnsi="Times New Roman" w:cs="Times New Roman" w:hint="default"/>
        <w:b/>
        <w:i w:val="0"/>
        <w:sz w:val="24"/>
        <w:szCs w:val="24"/>
      </w:rPr>
    </w:lvl>
    <w:lvl w:ilvl="1">
      <w:start w:val="1"/>
      <w:numFmt w:val="decimal"/>
      <w:lvlText w:val="%1.%2."/>
      <w:lvlJc w:val="left"/>
      <w:pPr>
        <w:tabs>
          <w:tab w:val="num" w:pos="1800"/>
        </w:tabs>
        <w:ind w:left="1800" w:hanging="504"/>
      </w:pPr>
      <w:rPr>
        <w:rFonts w:ascii="Times New Roman" w:hAnsi="Times New Roman" w:cs="Times New Roman" w:hint="default"/>
        <w:b/>
        <w:i w:val="0"/>
        <w:sz w:val="22"/>
        <w:szCs w:val="22"/>
      </w:rPr>
    </w:lvl>
    <w:lvl w:ilvl="2">
      <w:start w:val="1"/>
      <w:numFmt w:val="decimal"/>
      <w:lvlText w:val="%1.%2.%3"/>
      <w:lvlJc w:val="left"/>
      <w:pPr>
        <w:tabs>
          <w:tab w:val="num" w:pos="2520"/>
        </w:tabs>
        <w:ind w:left="2520" w:hanging="720"/>
      </w:pPr>
      <w:rPr>
        <w:rFonts w:ascii="Times New Roman" w:hAnsi="Times New Roman" w:cs="Times New Roman" w:hint="default"/>
        <w:b/>
        <w:i w:val="0"/>
        <w:sz w:val="22"/>
        <w:szCs w:val="22"/>
      </w:rPr>
    </w:lvl>
    <w:lvl w:ilvl="3">
      <w:start w:val="1"/>
      <w:numFmt w:val="decimal"/>
      <w:lvlText w:val="%1.%2.%3.%4"/>
      <w:lvlJc w:val="left"/>
      <w:pPr>
        <w:tabs>
          <w:tab w:val="num" w:pos="2880"/>
        </w:tabs>
        <w:ind w:left="2880" w:hanging="720"/>
      </w:pPr>
      <w:rPr>
        <w:rFonts w:cs="Times New Roman" w:hint="default"/>
        <w:b/>
      </w:rPr>
    </w:lvl>
    <w:lvl w:ilvl="4">
      <w:start w:val="1"/>
      <w:numFmt w:val="decimal"/>
      <w:lvlText w:val="%1.%2.%3.%4.%5"/>
      <w:lvlJc w:val="left"/>
      <w:pPr>
        <w:tabs>
          <w:tab w:val="num" w:pos="3600"/>
        </w:tabs>
        <w:ind w:left="3600" w:hanging="1080"/>
      </w:pPr>
      <w:rPr>
        <w:rFonts w:cs="Times New Roman" w:hint="default"/>
        <w:b/>
      </w:rPr>
    </w:lvl>
    <w:lvl w:ilvl="5">
      <w:start w:val="1"/>
      <w:numFmt w:val="decimal"/>
      <w:lvlText w:val="%1.%2.%3.%4.%5.%6"/>
      <w:lvlJc w:val="left"/>
      <w:pPr>
        <w:tabs>
          <w:tab w:val="num" w:pos="3960"/>
        </w:tabs>
        <w:ind w:left="3960" w:hanging="1080"/>
      </w:pPr>
      <w:rPr>
        <w:rFonts w:cs="Times New Roman" w:hint="default"/>
        <w:b/>
      </w:rPr>
    </w:lvl>
    <w:lvl w:ilvl="6">
      <w:start w:val="1"/>
      <w:numFmt w:val="decimal"/>
      <w:lvlText w:val="%1.%2.%3.%4.%5.%6.%7"/>
      <w:lvlJc w:val="left"/>
      <w:pPr>
        <w:tabs>
          <w:tab w:val="num" w:pos="4680"/>
        </w:tabs>
        <w:ind w:left="4680" w:hanging="1440"/>
      </w:pPr>
      <w:rPr>
        <w:rFonts w:cs="Times New Roman" w:hint="default"/>
        <w:b/>
      </w:rPr>
    </w:lvl>
    <w:lvl w:ilvl="7">
      <w:start w:val="1"/>
      <w:numFmt w:val="decimal"/>
      <w:lvlText w:val="%1.%2.%3.%4.%5.%6.%7.%8"/>
      <w:lvlJc w:val="left"/>
      <w:pPr>
        <w:tabs>
          <w:tab w:val="num" w:pos="5040"/>
        </w:tabs>
        <w:ind w:left="5040" w:hanging="1440"/>
      </w:pPr>
      <w:rPr>
        <w:rFonts w:cs="Times New Roman" w:hint="default"/>
        <w:b/>
      </w:rPr>
    </w:lvl>
    <w:lvl w:ilvl="8">
      <w:start w:val="1"/>
      <w:numFmt w:val="decimal"/>
      <w:lvlText w:val="%1.%2.%3.%4.%5.%6.%7.%8.%9"/>
      <w:lvlJc w:val="left"/>
      <w:pPr>
        <w:tabs>
          <w:tab w:val="num" w:pos="5760"/>
        </w:tabs>
        <w:ind w:left="5760" w:hanging="1800"/>
      </w:pPr>
      <w:rPr>
        <w:rFonts w:cs="Times New Roman" w:hint="default"/>
        <w:b/>
      </w:rPr>
    </w:lvl>
  </w:abstractNum>
  <w:abstractNum w:abstractNumId="11">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495741C"/>
    <w:multiLevelType w:val="hybridMultilevel"/>
    <w:tmpl w:val="A5A084AA"/>
    <w:lvl w:ilvl="0" w:tplc="D7788E8C">
      <w:start w:val="1"/>
      <w:numFmt w:val="decimal"/>
      <w:lvlText w:val="%1."/>
      <w:lvlJc w:val="left"/>
      <w:pPr>
        <w:tabs>
          <w:tab w:val="num" w:pos="720"/>
        </w:tabs>
        <w:ind w:left="720" w:hanging="360"/>
      </w:pPr>
      <w:rPr>
        <w:rFonts w:cs="Times New Roman"/>
        <w:color w:val="00000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4BC4E84"/>
    <w:multiLevelType w:val="hybridMultilevel"/>
    <w:tmpl w:val="590EEC38"/>
    <w:lvl w:ilvl="0" w:tplc="FFFFFFFF">
      <w:start w:val="1"/>
      <w:numFmt w:val="upperLetter"/>
      <w:pStyle w:val="Section"/>
      <w:lvlText w:val="%1."/>
      <w:lvlJc w:val="left"/>
      <w:pPr>
        <w:tabs>
          <w:tab w:val="num" w:pos="720"/>
        </w:tabs>
        <w:ind w:left="720" w:hanging="360"/>
      </w:pPr>
      <w:rPr>
        <w:rFonts w:ascii="Arial Bold" w:hAnsi="Arial Bold" w:cs="Times New Roman" w:hint="default"/>
        <w:b/>
        <w:i w:val="0"/>
        <w:sz w:val="22"/>
        <w:szCs w:val="22"/>
      </w:rPr>
    </w:lvl>
    <w:lvl w:ilvl="1" w:tplc="04090001">
      <w:start w:val="1"/>
      <w:numFmt w:val="bullet"/>
      <w:lvlText w:val=""/>
      <w:lvlJc w:val="left"/>
      <w:pPr>
        <w:tabs>
          <w:tab w:val="num" w:pos="1440"/>
        </w:tabs>
        <w:ind w:left="1440" w:hanging="360"/>
      </w:pPr>
      <w:rPr>
        <w:rFonts w:ascii="Symbol" w:hAnsi="Symbol" w:hint="default"/>
        <w:b/>
        <w:i w:val="0"/>
        <w:sz w:val="22"/>
      </w:rPr>
    </w:lvl>
    <w:lvl w:ilvl="2" w:tplc="6E3C6CDA">
      <w:start w:val="1"/>
      <w:numFmt w:val="lowerRoman"/>
      <w:lvlText w:val="%3."/>
      <w:lvlJc w:val="right"/>
      <w:pPr>
        <w:tabs>
          <w:tab w:val="num" w:pos="2160"/>
        </w:tabs>
        <w:ind w:left="2160" w:hanging="180"/>
      </w:pPr>
      <w:rPr>
        <w:rFonts w:cs="Times New Roman"/>
        <w:b/>
      </w:rPr>
    </w:lvl>
    <w:lvl w:ilvl="3" w:tplc="04090001">
      <w:start w:val="1"/>
      <w:numFmt w:val="bullet"/>
      <w:lvlText w:val=""/>
      <w:lvlJc w:val="left"/>
      <w:pPr>
        <w:tabs>
          <w:tab w:val="num" w:pos="2880"/>
        </w:tabs>
        <w:ind w:left="2880" w:hanging="360"/>
      </w:pPr>
      <w:rPr>
        <w:rFonts w:ascii="Symbol" w:hAnsi="Symbol" w:hint="default"/>
        <w:b/>
        <w:i w:val="0"/>
        <w:sz w:val="22"/>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37D23560"/>
    <w:multiLevelType w:val="hybridMultilevel"/>
    <w:tmpl w:val="B7FE1C2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603329F"/>
    <w:multiLevelType w:val="multilevel"/>
    <w:tmpl w:val="FEB2B1DA"/>
    <w:lvl w:ilvl="0">
      <w:start w:val="1"/>
      <w:numFmt w:val="decimal"/>
      <w:pStyle w:val="Requirement"/>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2112"/>
        </w:tabs>
        <w:ind w:left="2112" w:hanging="792"/>
      </w:pPr>
      <w:rPr>
        <w:rFonts w:ascii="Times New Roman" w:hAnsi="Times New Roman" w:cs="Times New Roman" w:hint="default"/>
        <w:b/>
        <w:i w:val="0"/>
        <w:sz w:val="22"/>
        <w:szCs w:val="22"/>
      </w:rPr>
    </w:lvl>
    <w:lvl w:ilvl="2">
      <w:start w:val="1"/>
      <w:numFmt w:val="decimal"/>
      <w:lvlText w:val="%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6">
    <w:nsid w:val="61584175"/>
    <w:multiLevelType w:val="hybridMultilevel"/>
    <w:tmpl w:val="D8C6CB9C"/>
    <w:lvl w:ilvl="0" w:tplc="3D5ED306">
      <w:start w:val="1"/>
      <w:numFmt w:val="bullet"/>
      <w:lvlText w:val=""/>
      <w:lvlJc w:val="left"/>
      <w:pPr>
        <w:tabs>
          <w:tab w:val="num" w:pos="1296"/>
        </w:tabs>
        <w:ind w:left="1296" w:hanging="360"/>
      </w:pPr>
      <w:rPr>
        <w:rFonts w:ascii="Symbol" w:hAnsi="Symbol" w:hint="default"/>
        <w:color w:val="auto"/>
      </w:rPr>
    </w:lvl>
    <w:lvl w:ilvl="1" w:tplc="04090003" w:tentative="1">
      <w:start w:val="1"/>
      <w:numFmt w:val="bullet"/>
      <w:lvlText w:val="o"/>
      <w:lvlJc w:val="left"/>
      <w:pPr>
        <w:tabs>
          <w:tab w:val="num" w:pos="1656"/>
        </w:tabs>
        <w:ind w:left="1656" w:hanging="360"/>
      </w:pPr>
      <w:rPr>
        <w:rFonts w:ascii="Courier New" w:hAnsi="Courier New" w:hint="default"/>
      </w:rPr>
    </w:lvl>
    <w:lvl w:ilvl="2" w:tplc="04090005" w:tentative="1">
      <w:start w:val="1"/>
      <w:numFmt w:val="bullet"/>
      <w:lvlText w:val=""/>
      <w:lvlJc w:val="left"/>
      <w:pPr>
        <w:tabs>
          <w:tab w:val="num" w:pos="2376"/>
        </w:tabs>
        <w:ind w:left="2376" w:hanging="360"/>
      </w:pPr>
      <w:rPr>
        <w:rFonts w:ascii="Wingdings" w:hAnsi="Wingdings" w:hint="default"/>
      </w:rPr>
    </w:lvl>
    <w:lvl w:ilvl="3" w:tplc="04090001" w:tentative="1">
      <w:start w:val="1"/>
      <w:numFmt w:val="bullet"/>
      <w:lvlText w:val=""/>
      <w:lvlJc w:val="left"/>
      <w:pPr>
        <w:tabs>
          <w:tab w:val="num" w:pos="3096"/>
        </w:tabs>
        <w:ind w:left="3096" w:hanging="360"/>
      </w:pPr>
      <w:rPr>
        <w:rFonts w:ascii="Symbol" w:hAnsi="Symbol" w:hint="default"/>
      </w:rPr>
    </w:lvl>
    <w:lvl w:ilvl="4" w:tplc="04090003" w:tentative="1">
      <w:start w:val="1"/>
      <w:numFmt w:val="bullet"/>
      <w:lvlText w:val="o"/>
      <w:lvlJc w:val="left"/>
      <w:pPr>
        <w:tabs>
          <w:tab w:val="num" w:pos="3816"/>
        </w:tabs>
        <w:ind w:left="3816" w:hanging="360"/>
      </w:pPr>
      <w:rPr>
        <w:rFonts w:ascii="Courier New" w:hAnsi="Courier New" w:hint="default"/>
      </w:rPr>
    </w:lvl>
    <w:lvl w:ilvl="5" w:tplc="04090005" w:tentative="1">
      <w:start w:val="1"/>
      <w:numFmt w:val="bullet"/>
      <w:lvlText w:val=""/>
      <w:lvlJc w:val="left"/>
      <w:pPr>
        <w:tabs>
          <w:tab w:val="num" w:pos="4536"/>
        </w:tabs>
        <w:ind w:left="4536" w:hanging="360"/>
      </w:pPr>
      <w:rPr>
        <w:rFonts w:ascii="Wingdings" w:hAnsi="Wingdings" w:hint="default"/>
      </w:rPr>
    </w:lvl>
    <w:lvl w:ilvl="6" w:tplc="04090001" w:tentative="1">
      <w:start w:val="1"/>
      <w:numFmt w:val="bullet"/>
      <w:lvlText w:val=""/>
      <w:lvlJc w:val="left"/>
      <w:pPr>
        <w:tabs>
          <w:tab w:val="num" w:pos="5256"/>
        </w:tabs>
        <w:ind w:left="5256" w:hanging="360"/>
      </w:pPr>
      <w:rPr>
        <w:rFonts w:ascii="Symbol" w:hAnsi="Symbol" w:hint="default"/>
      </w:rPr>
    </w:lvl>
    <w:lvl w:ilvl="7" w:tplc="04090003" w:tentative="1">
      <w:start w:val="1"/>
      <w:numFmt w:val="bullet"/>
      <w:lvlText w:val="o"/>
      <w:lvlJc w:val="left"/>
      <w:pPr>
        <w:tabs>
          <w:tab w:val="num" w:pos="5976"/>
        </w:tabs>
        <w:ind w:left="5976" w:hanging="360"/>
      </w:pPr>
      <w:rPr>
        <w:rFonts w:ascii="Courier New" w:hAnsi="Courier New" w:hint="default"/>
      </w:rPr>
    </w:lvl>
    <w:lvl w:ilvl="8" w:tplc="04090005" w:tentative="1">
      <w:start w:val="1"/>
      <w:numFmt w:val="bullet"/>
      <w:lvlText w:val=""/>
      <w:lvlJc w:val="left"/>
      <w:pPr>
        <w:tabs>
          <w:tab w:val="num" w:pos="6696"/>
        </w:tabs>
        <w:ind w:left="6696" w:hanging="360"/>
      </w:pPr>
      <w:rPr>
        <w:rFonts w:ascii="Wingdings" w:hAnsi="Wingdings" w:hint="default"/>
      </w:rPr>
    </w:lvl>
  </w:abstractNum>
  <w:abstractNum w:abstractNumId="17">
    <w:nsid w:val="67CB3584"/>
    <w:multiLevelType w:val="multilevel"/>
    <w:tmpl w:val="47E226B6"/>
    <w:lvl w:ilvl="0">
      <w:start w:val="1"/>
      <w:numFmt w:val="decimal"/>
      <w:pStyle w:val="Measure"/>
      <w:lvlText w:val="M%1."/>
      <w:lvlJc w:val="left"/>
      <w:pPr>
        <w:tabs>
          <w:tab w:val="num" w:pos="720"/>
        </w:tabs>
        <w:ind w:left="1296" w:hanging="576"/>
      </w:pPr>
      <w:rPr>
        <w:rFonts w:ascii="Times New Roman" w:hAnsi="Times New Roman" w:cs="Times New Roman" w:hint="default"/>
        <w:b/>
        <w:i w:val="0"/>
        <w:sz w:val="22"/>
        <w:szCs w:val="22"/>
      </w:rPr>
    </w:lvl>
    <w:lvl w:ilvl="1">
      <w:start w:val="1"/>
      <w:numFmt w:val="decimal"/>
      <w:lvlText w:val="M%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M%3.%1.%2"/>
      <w:lvlJc w:val="left"/>
      <w:pPr>
        <w:tabs>
          <w:tab w:val="num" w:pos="2088"/>
        </w:tabs>
        <w:ind w:left="2952" w:hanging="864"/>
      </w:pPr>
      <w:rPr>
        <w:rFonts w:ascii="Times New Roman" w:hAnsi="Times New Roman" w:cs="Times New Roman" w:hint="default"/>
        <w:b/>
        <w:i w:val="0"/>
        <w:sz w:val="22"/>
        <w:szCs w:val="22"/>
      </w:rPr>
    </w:lvl>
    <w:lvl w:ilvl="3">
      <w:start w:val="1"/>
      <w:numFmt w:val="none"/>
      <w:lvlText w:val="1."/>
      <w:lvlJc w:val="left"/>
      <w:pPr>
        <w:tabs>
          <w:tab w:val="num" w:pos="2808"/>
        </w:tabs>
        <w:ind w:left="2808" w:hanging="864"/>
      </w:pPr>
      <w:rPr>
        <w:rFonts w:ascii="Times New Roman" w:hAnsi="Times New Roman" w:cs="Times New Roman" w:hint="default"/>
        <w:b w:val="0"/>
        <w:i w:val="0"/>
        <w:sz w:val="22"/>
        <w:szCs w:val="22"/>
      </w:rPr>
    </w:lvl>
    <w:lvl w:ilvl="4">
      <w:start w:val="1"/>
      <w:numFmt w:val="decimal"/>
      <w:lvlText w:val="%1.%2.%3.%4.%5."/>
      <w:lvlJc w:val="left"/>
      <w:pPr>
        <w:tabs>
          <w:tab w:val="num" w:pos="4680"/>
        </w:tabs>
        <w:ind w:left="3672" w:hanging="792"/>
      </w:pPr>
      <w:rPr>
        <w:rFonts w:cs="Times New Roman" w:hint="default"/>
      </w:rPr>
    </w:lvl>
    <w:lvl w:ilvl="5">
      <w:start w:val="1"/>
      <w:numFmt w:val="decimal"/>
      <w:lvlText w:val="%1.%2.%3.%4.%5.%6."/>
      <w:lvlJc w:val="left"/>
      <w:pPr>
        <w:tabs>
          <w:tab w:val="num" w:pos="5400"/>
        </w:tabs>
        <w:ind w:left="4176" w:hanging="936"/>
      </w:pPr>
      <w:rPr>
        <w:rFonts w:cs="Times New Roman" w:hint="default"/>
      </w:rPr>
    </w:lvl>
    <w:lvl w:ilvl="6">
      <w:start w:val="1"/>
      <w:numFmt w:val="decimal"/>
      <w:lvlText w:val="%1.%2.%3.%4.%5.%6.%7."/>
      <w:lvlJc w:val="left"/>
      <w:pPr>
        <w:tabs>
          <w:tab w:val="num" w:pos="5760"/>
        </w:tabs>
        <w:ind w:left="4680" w:hanging="1080"/>
      </w:pPr>
      <w:rPr>
        <w:rFonts w:cs="Times New Roman" w:hint="default"/>
      </w:rPr>
    </w:lvl>
    <w:lvl w:ilvl="7">
      <w:start w:val="1"/>
      <w:numFmt w:val="decimal"/>
      <w:lvlText w:val="%1.%2.%3.%4.%5.%6.%7.%8."/>
      <w:lvlJc w:val="left"/>
      <w:pPr>
        <w:tabs>
          <w:tab w:val="num" w:pos="6480"/>
        </w:tabs>
        <w:ind w:left="5184" w:hanging="1224"/>
      </w:pPr>
      <w:rPr>
        <w:rFonts w:cs="Times New Roman" w:hint="default"/>
      </w:rPr>
    </w:lvl>
    <w:lvl w:ilvl="8">
      <w:start w:val="1"/>
      <w:numFmt w:val="decimal"/>
      <w:lvlText w:val="%1.%2.%3.%4.%5.%6.%7.%8.%9."/>
      <w:lvlJc w:val="left"/>
      <w:pPr>
        <w:tabs>
          <w:tab w:val="num" w:pos="7200"/>
        </w:tabs>
        <w:ind w:left="5760" w:hanging="1440"/>
      </w:pPr>
      <w:rPr>
        <w:rFonts w:cs="Times New Roman" w:hint="default"/>
      </w:rPr>
    </w:lvl>
  </w:abstractNum>
  <w:abstractNum w:abstractNumId="18">
    <w:nsid w:val="697927C7"/>
    <w:multiLevelType w:val="multilevel"/>
    <w:tmpl w:val="6546988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2112"/>
        </w:tabs>
        <w:ind w:left="2112" w:hanging="792"/>
      </w:pPr>
      <w:rPr>
        <w:rFonts w:ascii="Times New Roman" w:hAnsi="Times New Roman" w:cs="Times New Roman"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9">
    <w:nsid w:val="73FC59ED"/>
    <w:multiLevelType w:val="multilevel"/>
    <w:tmpl w:val="44FCFDF4"/>
    <w:lvl w:ilvl="0">
      <w:start w:val="1"/>
      <w:numFmt w:val="upperLetter"/>
      <w:lvlText w:val="%1."/>
      <w:lvlJc w:val="left"/>
      <w:pPr>
        <w:tabs>
          <w:tab w:val="num" w:pos="360"/>
        </w:tabs>
        <w:ind w:left="432" w:hanging="432"/>
      </w:pPr>
      <w:rPr>
        <w:rFonts w:cs="Times New Roman" w:hint="default"/>
        <w:b/>
        <w:i w:val="0"/>
        <w:sz w:val="22"/>
        <w:szCs w:val="22"/>
      </w:rPr>
    </w:lvl>
    <w:lvl w:ilvl="1">
      <w:start w:val="1"/>
      <w:numFmt w:val="lowerLetter"/>
      <w:lvlText w:val="%2."/>
      <w:lvlJc w:val="left"/>
      <w:pPr>
        <w:tabs>
          <w:tab w:val="num" w:pos="720"/>
        </w:tabs>
        <w:ind w:left="720" w:hanging="360"/>
      </w:pPr>
      <w:rPr>
        <w:rFonts w:ascii="Arial Bold" w:hAnsi="Arial Bold" w:cs="Times New Roman" w:hint="default"/>
        <w:b/>
        <w:i w:val="0"/>
        <w:sz w:val="22"/>
        <w:szCs w:val="22"/>
      </w:rPr>
    </w:lvl>
    <w:lvl w:ilvl="2">
      <w:start w:val="1"/>
      <w:numFmt w:val="lowerRoman"/>
      <w:lvlText w:val="%3)"/>
      <w:lvlJc w:val="left"/>
      <w:pPr>
        <w:tabs>
          <w:tab w:val="num" w:pos="1080"/>
        </w:tabs>
        <w:ind w:left="1080" w:hanging="360"/>
      </w:pPr>
      <w:rPr>
        <w:rFonts w:ascii="Arial" w:hAnsi="Arial" w:cs="Times New Roman" w:hint="default"/>
        <w:b w:val="0"/>
        <w:i w:val="0"/>
        <w:sz w:val="22"/>
        <w:szCs w:val="22"/>
      </w:rPr>
    </w:lvl>
    <w:lvl w:ilvl="3">
      <w:start w:val="1"/>
      <w:numFmt w:val="lowerRoman"/>
      <w:lvlText w:val="%4."/>
      <w:lvlJc w:val="left"/>
      <w:pPr>
        <w:tabs>
          <w:tab w:val="num" w:pos="2088"/>
        </w:tabs>
        <w:ind w:left="2088" w:hanging="216"/>
      </w:pPr>
      <w:rPr>
        <w:rFonts w:cs="Times New Roman" w:hint="default"/>
        <w:b w:val="0"/>
        <w:i w:val="0"/>
        <w:sz w:val="22"/>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num w:numId="1">
    <w:abstractNumId w:val="8"/>
  </w:num>
  <w:num w:numId="2">
    <w:abstractNumId w:val="7"/>
  </w:num>
  <w:num w:numId="3">
    <w:abstractNumId w:val="8"/>
  </w:num>
  <w:num w:numId="4">
    <w:abstractNumId w:val="7"/>
  </w:num>
  <w:num w:numId="5">
    <w:abstractNumId w:val="8"/>
  </w:num>
  <w:num w:numId="6">
    <w:abstractNumId w:val="7"/>
  </w:num>
  <w:num w:numId="7">
    <w:abstractNumId w:val="8"/>
  </w:num>
  <w:num w:numId="8">
    <w:abstractNumId w:val="7"/>
  </w:num>
  <w:num w:numId="9">
    <w:abstractNumId w:val="10"/>
  </w:num>
  <w:num w:numId="10">
    <w:abstractNumId w:val="13"/>
  </w:num>
  <w:num w:numId="11">
    <w:abstractNumId w:val="17"/>
  </w:num>
  <w:num w:numId="12">
    <w:abstractNumId w:val="15"/>
  </w:num>
  <w:num w:numId="13">
    <w:abstractNumId w:val="12"/>
  </w:num>
  <w:num w:numId="14">
    <w:abstractNumId w:val="11"/>
  </w:num>
  <w:num w:numId="15">
    <w:abstractNumId w:val="16"/>
  </w:num>
  <w:num w:numId="16">
    <w:abstractNumId w:val="19"/>
  </w:num>
  <w:num w:numId="17">
    <w:abstractNumId w:val="7"/>
  </w:num>
  <w:num w:numId="18">
    <w:abstractNumId w:val="14"/>
  </w:num>
  <w:num w:numId="19">
    <w:abstractNumId w:val="9"/>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stylePaneFormatFilter w:val="3F01"/>
  <w:trackRevisions/>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C32082"/>
    <w:rsid w:val="00027A67"/>
    <w:rsid w:val="00032731"/>
    <w:rsid w:val="000549FC"/>
    <w:rsid w:val="00061CC0"/>
    <w:rsid w:val="00073BFD"/>
    <w:rsid w:val="000959FF"/>
    <w:rsid w:val="000C37B4"/>
    <w:rsid w:val="00104B94"/>
    <w:rsid w:val="00136A01"/>
    <w:rsid w:val="00136A3A"/>
    <w:rsid w:val="0014219C"/>
    <w:rsid w:val="00143F33"/>
    <w:rsid w:val="0017081B"/>
    <w:rsid w:val="00172D8F"/>
    <w:rsid w:val="00172EB8"/>
    <w:rsid w:val="001851CB"/>
    <w:rsid w:val="001A23C5"/>
    <w:rsid w:val="001A7FBC"/>
    <w:rsid w:val="002078B4"/>
    <w:rsid w:val="00210C3D"/>
    <w:rsid w:val="00216866"/>
    <w:rsid w:val="002210A3"/>
    <w:rsid w:val="00221F88"/>
    <w:rsid w:val="00243D91"/>
    <w:rsid w:val="002722CE"/>
    <w:rsid w:val="00292DC3"/>
    <w:rsid w:val="002A189F"/>
    <w:rsid w:val="002A2567"/>
    <w:rsid w:val="002A4DD2"/>
    <w:rsid w:val="002E4CD6"/>
    <w:rsid w:val="002E5F71"/>
    <w:rsid w:val="002F142D"/>
    <w:rsid w:val="00324ACE"/>
    <w:rsid w:val="003456E4"/>
    <w:rsid w:val="003527FF"/>
    <w:rsid w:val="00355006"/>
    <w:rsid w:val="0035637A"/>
    <w:rsid w:val="00362FE3"/>
    <w:rsid w:val="0038796C"/>
    <w:rsid w:val="003A25CF"/>
    <w:rsid w:val="003C5F57"/>
    <w:rsid w:val="003D6EE8"/>
    <w:rsid w:val="00415C94"/>
    <w:rsid w:val="00434497"/>
    <w:rsid w:val="004462FE"/>
    <w:rsid w:val="0047107E"/>
    <w:rsid w:val="00490639"/>
    <w:rsid w:val="00493332"/>
    <w:rsid w:val="0049682A"/>
    <w:rsid w:val="004A3313"/>
    <w:rsid w:val="004C1B44"/>
    <w:rsid w:val="004E33E5"/>
    <w:rsid w:val="005123DB"/>
    <w:rsid w:val="005308E9"/>
    <w:rsid w:val="005443A2"/>
    <w:rsid w:val="00583D6A"/>
    <w:rsid w:val="005D6FB7"/>
    <w:rsid w:val="005E3242"/>
    <w:rsid w:val="005E49FA"/>
    <w:rsid w:val="005E4C78"/>
    <w:rsid w:val="005F6245"/>
    <w:rsid w:val="00603660"/>
    <w:rsid w:val="00605D81"/>
    <w:rsid w:val="0062240D"/>
    <w:rsid w:val="00627E4C"/>
    <w:rsid w:val="006354A8"/>
    <w:rsid w:val="006378EF"/>
    <w:rsid w:val="006609DC"/>
    <w:rsid w:val="00664A33"/>
    <w:rsid w:val="00691485"/>
    <w:rsid w:val="006E0BE7"/>
    <w:rsid w:val="006F2BF5"/>
    <w:rsid w:val="006F6DAD"/>
    <w:rsid w:val="0070406A"/>
    <w:rsid w:val="00730A4C"/>
    <w:rsid w:val="0074277A"/>
    <w:rsid w:val="00777E4C"/>
    <w:rsid w:val="007B656C"/>
    <w:rsid w:val="00805332"/>
    <w:rsid w:val="00810EEC"/>
    <w:rsid w:val="00812035"/>
    <w:rsid w:val="008271BE"/>
    <w:rsid w:val="0083623B"/>
    <w:rsid w:val="0084069B"/>
    <w:rsid w:val="00841F8B"/>
    <w:rsid w:val="00843812"/>
    <w:rsid w:val="00862ACA"/>
    <w:rsid w:val="00875483"/>
    <w:rsid w:val="00880EDF"/>
    <w:rsid w:val="00884FC8"/>
    <w:rsid w:val="008879CB"/>
    <w:rsid w:val="00891B63"/>
    <w:rsid w:val="008B0BF4"/>
    <w:rsid w:val="008B59B5"/>
    <w:rsid w:val="008D474B"/>
    <w:rsid w:val="008D702E"/>
    <w:rsid w:val="008E029C"/>
    <w:rsid w:val="00911BBD"/>
    <w:rsid w:val="009213F7"/>
    <w:rsid w:val="00936CC3"/>
    <w:rsid w:val="00940940"/>
    <w:rsid w:val="00960CCB"/>
    <w:rsid w:val="00962AAA"/>
    <w:rsid w:val="0096540D"/>
    <w:rsid w:val="00977E88"/>
    <w:rsid w:val="009A1E53"/>
    <w:rsid w:val="009B10C5"/>
    <w:rsid w:val="009B1585"/>
    <w:rsid w:val="009C124F"/>
    <w:rsid w:val="009D0169"/>
    <w:rsid w:val="009D7AFD"/>
    <w:rsid w:val="00A164F6"/>
    <w:rsid w:val="00A408B2"/>
    <w:rsid w:val="00A55454"/>
    <w:rsid w:val="00A676C3"/>
    <w:rsid w:val="00A92BC0"/>
    <w:rsid w:val="00AD3112"/>
    <w:rsid w:val="00AF68B6"/>
    <w:rsid w:val="00B01311"/>
    <w:rsid w:val="00B03AC9"/>
    <w:rsid w:val="00B044FB"/>
    <w:rsid w:val="00B05550"/>
    <w:rsid w:val="00B4508E"/>
    <w:rsid w:val="00B4727F"/>
    <w:rsid w:val="00B47B56"/>
    <w:rsid w:val="00B65532"/>
    <w:rsid w:val="00B65B5B"/>
    <w:rsid w:val="00B86B24"/>
    <w:rsid w:val="00B97E70"/>
    <w:rsid w:val="00BB2B64"/>
    <w:rsid w:val="00BC6A88"/>
    <w:rsid w:val="00BC6B59"/>
    <w:rsid w:val="00BD45A6"/>
    <w:rsid w:val="00BD58DF"/>
    <w:rsid w:val="00BE0669"/>
    <w:rsid w:val="00BE1301"/>
    <w:rsid w:val="00BF15CF"/>
    <w:rsid w:val="00BF3A97"/>
    <w:rsid w:val="00C05F00"/>
    <w:rsid w:val="00C0617E"/>
    <w:rsid w:val="00C1136C"/>
    <w:rsid w:val="00C155DE"/>
    <w:rsid w:val="00C32082"/>
    <w:rsid w:val="00C45FF0"/>
    <w:rsid w:val="00C519FE"/>
    <w:rsid w:val="00C5690A"/>
    <w:rsid w:val="00C87AE0"/>
    <w:rsid w:val="00C953D6"/>
    <w:rsid w:val="00CB203E"/>
    <w:rsid w:val="00CC7447"/>
    <w:rsid w:val="00CD0502"/>
    <w:rsid w:val="00CD57AE"/>
    <w:rsid w:val="00CF1598"/>
    <w:rsid w:val="00D10CFB"/>
    <w:rsid w:val="00D47012"/>
    <w:rsid w:val="00D50407"/>
    <w:rsid w:val="00D85B24"/>
    <w:rsid w:val="00D92A93"/>
    <w:rsid w:val="00DA2127"/>
    <w:rsid w:val="00DA3634"/>
    <w:rsid w:val="00DA6D62"/>
    <w:rsid w:val="00DB214E"/>
    <w:rsid w:val="00DB2B71"/>
    <w:rsid w:val="00DF6DC7"/>
    <w:rsid w:val="00E00837"/>
    <w:rsid w:val="00E30CD7"/>
    <w:rsid w:val="00E338D2"/>
    <w:rsid w:val="00E57780"/>
    <w:rsid w:val="00E86352"/>
    <w:rsid w:val="00EA6B34"/>
    <w:rsid w:val="00EB14BB"/>
    <w:rsid w:val="00EE1EC4"/>
    <w:rsid w:val="00EF2E9D"/>
    <w:rsid w:val="00F0176D"/>
    <w:rsid w:val="00F14BAD"/>
    <w:rsid w:val="00F35365"/>
    <w:rsid w:val="00F52C06"/>
    <w:rsid w:val="00F84113"/>
    <w:rsid w:val="00FA52EA"/>
    <w:rsid w:val="00FB4545"/>
    <w:rsid w:val="00FD10EE"/>
    <w:rsid w:val="00FD1ACB"/>
    <w:rsid w:val="00FD1B67"/>
    <w:rsid w:val="00FE4D76"/>
    <w:rsid w:val="00FE6D12"/>
    <w:rsid w:val="00FE7449"/>
    <w:rsid w:val="00FF01A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9DC"/>
    <w:rPr>
      <w:sz w:val="24"/>
      <w:szCs w:val="24"/>
    </w:rPr>
  </w:style>
  <w:style w:type="paragraph" w:styleId="Heading1">
    <w:name w:val="heading 1"/>
    <w:basedOn w:val="Normal"/>
    <w:next w:val="Normal"/>
    <w:link w:val="Heading1Char"/>
    <w:uiPriority w:val="99"/>
    <w:qFormat/>
    <w:rsid w:val="006609D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690A"/>
    <w:rPr>
      <w:rFonts w:ascii="Cambria" w:hAnsi="Cambria" w:cs="Times New Roman"/>
      <w:b/>
      <w:bCs/>
      <w:kern w:val="32"/>
      <w:sz w:val="32"/>
      <w:szCs w:val="32"/>
    </w:rPr>
  </w:style>
  <w:style w:type="character" w:styleId="PageNumber">
    <w:name w:val="page number"/>
    <w:basedOn w:val="DefaultParagraphFont"/>
    <w:uiPriority w:val="99"/>
    <w:rsid w:val="006609DC"/>
    <w:rPr>
      <w:rFonts w:cs="Times New Roman"/>
    </w:rPr>
  </w:style>
  <w:style w:type="paragraph" w:styleId="Header">
    <w:name w:val="header"/>
    <w:basedOn w:val="Normal"/>
    <w:link w:val="HeaderChar"/>
    <w:uiPriority w:val="99"/>
    <w:rsid w:val="006609DC"/>
    <w:pPr>
      <w:pBdr>
        <w:bottom w:val="single" w:sz="4" w:space="1" w:color="auto"/>
      </w:pBdr>
      <w:tabs>
        <w:tab w:val="center" w:pos="4320"/>
        <w:tab w:val="right" w:pos="8640"/>
      </w:tabs>
      <w:spacing w:after="240"/>
    </w:pPr>
    <w:rPr>
      <w:rFonts w:ascii="Arial Bold" w:hAnsi="Arial Bold"/>
      <w:b/>
      <w:sz w:val="18"/>
    </w:rPr>
  </w:style>
  <w:style w:type="character" w:customStyle="1" w:styleId="HeaderChar">
    <w:name w:val="Header Char"/>
    <w:basedOn w:val="DefaultParagraphFont"/>
    <w:link w:val="Header"/>
    <w:uiPriority w:val="99"/>
    <w:semiHidden/>
    <w:locked/>
    <w:rsid w:val="00C5690A"/>
    <w:rPr>
      <w:rFonts w:cs="Times New Roman"/>
      <w:sz w:val="24"/>
      <w:szCs w:val="24"/>
    </w:rPr>
  </w:style>
  <w:style w:type="paragraph" w:styleId="Footer">
    <w:name w:val="footer"/>
    <w:basedOn w:val="Normal"/>
    <w:link w:val="FooterChar"/>
    <w:uiPriority w:val="99"/>
    <w:rsid w:val="006609DC"/>
    <w:pPr>
      <w:pBdr>
        <w:top w:val="single" w:sz="4" w:space="1" w:color="auto"/>
      </w:pBdr>
      <w:tabs>
        <w:tab w:val="center" w:pos="4320"/>
        <w:tab w:val="right" w:pos="8640"/>
      </w:tabs>
      <w:spacing w:before="240" w:after="120"/>
    </w:pPr>
    <w:rPr>
      <w:rFonts w:ascii="Arial Bold" w:hAnsi="Arial Bold"/>
      <w:b/>
      <w:sz w:val="18"/>
    </w:rPr>
  </w:style>
  <w:style w:type="character" w:customStyle="1" w:styleId="FooterChar">
    <w:name w:val="Footer Char"/>
    <w:basedOn w:val="DefaultParagraphFont"/>
    <w:link w:val="Footer"/>
    <w:uiPriority w:val="99"/>
    <w:semiHidden/>
    <w:locked/>
    <w:rsid w:val="00C5690A"/>
    <w:rPr>
      <w:rFonts w:cs="Times New Roman"/>
      <w:sz w:val="24"/>
      <w:szCs w:val="24"/>
    </w:rPr>
  </w:style>
  <w:style w:type="paragraph" w:customStyle="1" w:styleId="Section">
    <w:name w:val="Section"/>
    <w:basedOn w:val="Normal"/>
    <w:next w:val="ListNumber"/>
    <w:uiPriority w:val="99"/>
    <w:rsid w:val="006609DC"/>
    <w:pPr>
      <w:numPr>
        <w:numId w:val="10"/>
      </w:numPr>
      <w:tabs>
        <w:tab w:val="left" w:pos="360"/>
        <w:tab w:val="left" w:pos="1080"/>
      </w:tabs>
      <w:spacing w:after="120"/>
      <w:ind w:left="360"/>
    </w:pPr>
    <w:rPr>
      <w:rFonts w:ascii="Arial" w:hAnsi="Arial"/>
      <w:b/>
      <w:sz w:val="22"/>
    </w:rPr>
  </w:style>
  <w:style w:type="paragraph" w:customStyle="1" w:styleId="Requirement">
    <w:name w:val="Requirement"/>
    <w:basedOn w:val="List2"/>
    <w:autoRedefine/>
    <w:uiPriority w:val="99"/>
    <w:rsid w:val="006609DC"/>
    <w:pPr>
      <w:numPr>
        <w:numId w:val="12"/>
      </w:numPr>
      <w:tabs>
        <w:tab w:val="left" w:pos="2592"/>
        <w:tab w:val="left" w:pos="3240"/>
      </w:tabs>
      <w:spacing w:after="120"/>
    </w:pPr>
    <w:rPr>
      <w:sz w:val="32"/>
      <w:szCs w:val="32"/>
    </w:rPr>
  </w:style>
  <w:style w:type="paragraph" w:styleId="ListNumber">
    <w:name w:val="List Number"/>
    <w:basedOn w:val="Normal"/>
    <w:uiPriority w:val="99"/>
    <w:rsid w:val="006609DC"/>
    <w:pPr>
      <w:numPr>
        <w:numId w:val="9"/>
      </w:numPr>
      <w:tabs>
        <w:tab w:val="left" w:pos="2160"/>
      </w:tabs>
      <w:spacing w:after="120"/>
    </w:pPr>
    <w:rPr>
      <w:sz w:val="22"/>
    </w:rPr>
  </w:style>
  <w:style w:type="paragraph" w:customStyle="1" w:styleId="Measure">
    <w:name w:val="Measure"/>
    <w:basedOn w:val="Requirement"/>
    <w:uiPriority w:val="99"/>
    <w:rsid w:val="006609DC"/>
    <w:pPr>
      <w:numPr>
        <w:numId w:val="11"/>
      </w:numPr>
      <w:tabs>
        <w:tab w:val="left" w:pos="936"/>
      </w:tabs>
    </w:pPr>
  </w:style>
  <w:style w:type="paragraph" w:customStyle="1" w:styleId="BodyIndent2">
    <w:name w:val="Body Indent 2"/>
    <w:basedOn w:val="Normal"/>
    <w:uiPriority w:val="99"/>
    <w:rsid w:val="006609DC"/>
    <w:pPr>
      <w:spacing w:after="120"/>
      <w:ind w:left="1440"/>
    </w:pPr>
    <w:rPr>
      <w:sz w:val="22"/>
    </w:rPr>
  </w:style>
  <w:style w:type="paragraph" w:styleId="FootnoteText">
    <w:name w:val="footnote text"/>
    <w:basedOn w:val="Normal"/>
    <w:link w:val="FootnoteTextChar"/>
    <w:uiPriority w:val="99"/>
    <w:semiHidden/>
    <w:rsid w:val="006609DC"/>
    <w:pPr>
      <w:spacing w:after="120"/>
    </w:pPr>
    <w:rPr>
      <w:sz w:val="20"/>
      <w:szCs w:val="20"/>
    </w:rPr>
  </w:style>
  <w:style w:type="character" w:customStyle="1" w:styleId="FootnoteTextChar">
    <w:name w:val="Footnote Text Char"/>
    <w:basedOn w:val="DefaultParagraphFont"/>
    <w:link w:val="FootnoteText"/>
    <w:uiPriority w:val="99"/>
    <w:semiHidden/>
    <w:locked/>
    <w:rsid w:val="00C5690A"/>
    <w:rPr>
      <w:rFonts w:cs="Times New Roman"/>
      <w:sz w:val="20"/>
      <w:szCs w:val="20"/>
    </w:rPr>
  </w:style>
  <w:style w:type="character" w:styleId="FootnoteReference">
    <w:name w:val="footnote reference"/>
    <w:basedOn w:val="DefaultParagraphFont"/>
    <w:uiPriority w:val="99"/>
    <w:semiHidden/>
    <w:rsid w:val="006609DC"/>
    <w:rPr>
      <w:rFonts w:cs="Times New Roman"/>
      <w:vertAlign w:val="superscript"/>
    </w:rPr>
  </w:style>
  <w:style w:type="paragraph" w:styleId="ListBullet2">
    <w:name w:val="List Bullet 2"/>
    <w:basedOn w:val="Normal"/>
    <w:uiPriority w:val="99"/>
    <w:rsid w:val="006609DC"/>
    <w:pPr>
      <w:tabs>
        <w:tab w:val="num" w:pos="720"/>
      </w:tabs>
      <w:spacing w:after="120"/>
      <w:ind w:left="720" w:hanging="360"/>
    </w:pPr>
  </w:style>
  <w:style w:type="paragraph" w:styleId="List2">
    <w:name w:val="List 2"/>
    <w:basedOn w:val="Normal"/>
    <w:uiPriority w:val="99"/>
    <w:rsid w:val="006609DC"/>
    <w:pPr>
      <w:ind w:left="720" w:hanging="360"/>
    </w:pPr>
  </w:style>
  <w:style w:type="paragraph" w:styleId="BalloonText">
    <w:name w:val="Balloon Text"/>
    <w:basedOn w:val="Normal"/>
    <w:link w:val="BalloonTextChar"/>
    <w:uiPriority w:val="99"/>
    <w:semiHidden/>
    <w:rsid w:val="006609D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5690A"/>
    <w:rPr>
      <w:rFonts w:cs="Times New Roman"/>
      <w:sz w:val="2"/>
    </w:rPr>
  </w:style>
  <w:style w:type="character" w:styleId="CommentReference">
    <w:name w:val="annotation reference"/>
    <w:basedOn w:val="DefaultParagraphFont"/>
    <w:uiPriority w:val="99"/>
    <w:semiHidden/>
    <w:rsid w:val="006609DC"/>
    <w:rPr>
      <w:rFonts w:cs="Times New Roman"/>
      <w:sz w:val="16"/>
      <w:szCs w:val="16"/>
    </w:rPr>
  </w:style>
  <w:style w:type="paragraph" w:styleId="CommentText">
    <w:name w:val="annotation text"/>
    <w:basedOn w:val="Normal"/>
    <w:link w:val="CommentTextChar"/>
    <w:uiPriority w:val="99"/>
    <w:semiHidden/>
    <w:rsid w:val="006609DC"/>
    <w:rPr>
      <w:sz w:val="20"/>
      <w:szCs w:val="20"/>
    </w:rPr>
  </w:style>
  <w:style w:type="character" w:customStyle="1" w:styleId="CommentTextChar">
    <w:name w:val="Comment Text Char"/>
    <w:basedOn w:val="DefaultParagraphFont"/>
    <w:link w:val="CommentText"/>
    <w:uiPriority w:val="99"/>
    <w:semiHidden/>
    <w:locked/>
    <w:rsid w:val="00C5690A"/>
    <w:rPr>
      <w:rFonts w:cs="Times New Roman"/>
      <w:sz w:val="20"/>
      <w:szCs w:val="20"/>
    </w:rPr>
  </w:style>
  <w:style w:type="paragraph" w:styleId="CommentSubject">
    <w:name w:val="annotation subject"/>
    <w:basedOn w:val="CommentText"/>
    <w:next w:val="CommentText"/>
    <w:link w:val="CommentSubjectChar"/>
    <w:uiPriority w:val="99"/>
    <w:semiHidden/>
    <w:rsid w:val="006609DC"/>
    <w:rPr>
      <w:b/>
      <w:bCs/>
    </w:rPr>
  </w:style>
  <w:style w:type="character" w:customStyle="1" w:styleId="CommentSubjectChar">
    <w:name w:val="Comment Subject Char"/>
    <w:basedOn w:val="CommentTextChar"/>
    <w:link w:val="CommentSubject"/>
    <w:uiPriority w:val="99"/>
    <w:semiHidden/>
    <w:locked/>
    <w:rsid w:val="00C5690A"/>
    <w:rPr>
      <w:b/>
      <w:bCs/>
    </w:rPr>
  </w:style>
  <w:style w:type="character" w:customStyle="1" w:styleId="EmailStyle381">
    <w:name w:val="EmailStyle38"/>
    <w:aliases w:val="EmailStyle38"/>
    <w:basedOn w:val="DefaultParagraphFont"/>
    <w:uiPriority w:val="99"/>
    <w:semiHidden/>
    <w:personal/>
    <w:rsid w:val="006609DC"/>
    <w:rPr>
      <w:rFonts w:ascii="Arial" w:hAnsi="Arial" w:cs="Arial"/>
      <w:color w:val="auto"/>
      <w:sz w:val="24"/>
      <w:szCs w:val="24"/>
      <w:u w:val="none"/>
    </w:rPr>
  </w:style>
  <w:style w:type="paragraph" w:styleId="Revision">
    <w:name w:val="Revision"/>
    <w:hidden/>
    <w:uiPriority w:val="99"/>
    <w:semiHidden/>
    <w:rsid w:val="00FB454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975" b="1" i="0" u="none" strike="noStrike" baseline="0">
                <a:solidFill>
                  <a:srgbClr val="000000"/>
                </a:solidFill>
                <a:latin typeface="Arial"/>
                <a:ea typeface="Arial"/>
                <a:cs typeface="Arial"/>
              </a:defRPr>
            </a:pPr>
            <a:r>
              <a:rPr lang="en-US"/>
              <a:t>OFF NOMINAL FREQUENCY CAPABILITY CURVE</a:t>
            </a:r>
          </a:p>
        </c:rich>
      </c:tx>
      <c:layout>
        <c:manualLayout>
          <c:xMode val="edge"/>
          <c:yMode val="edge"/>
          <c:x val="0.2575516693163753"/>
          <c:y val="2.0361990950226248E-2"/>
        </c:manualLayout>
      </c:layout>
      <c:spPr>
        <a:noFill/>
        <a:ln w="25400">
          <a:noFill/>
        </a:ln>
      </c:spPr>
    </c:title>
    <c:plotArea>
      <c:layout>
        <c:manualLayout>
          <c:layoutTarget val="inner"/>
          <c:xMode val="edge"/>
          <c:yMode val="edge"/>
          <c:x val="4.7694753577106515E-2"/>
          <c:y val="0.14705882352941191"/>
          <c:w val="0.84896661367249748"/>
          <c:h val="0.66968325791855399"/>
        </c:manualLayout>
      </c:layout>
      <c:scatterChart>
        <c:scatterStyle val="lineMarker"/>
        <c:ser>
          <c:idx val="2"/>
          <c:order val="0"/>
          <c:tx>
            <c:strRef>
              <c:f>Sheet1!$P$1</c:f>
              <c:strCache>
                <c:ptCount val="1"/>
                <c:pt idx="0">
                  <c:v>Gen Protection Hi</c:v>
                </c:pt>
              </c:strCache>
            </c:strRef>
          </c:tx>
          <c:spPr>
            <a:ln w="38100">
              <a:solidFill>
                <a:srgbClr val="0000FF"/>
              </a:solidFill>
              <a:prstDash val="solid"/>
            </a:ln>
          </c:spPr>
          <c:marker>
            <c:symbol val="none"/>
          </c:marker>
          <c:xVal>
            <c:numRef>
              <c:f>Sheet1!$P$2:$P$7</c:f>
              <c:numCache>
                <c:formatCode>General</c:formatCode>
                <c:ptCount val="6"/>
                <c:pt idx="0">
                  <c:v>0.1</c:v>
                </c:pt>
                <c:pt idx="1">
                  <c:v>2</c:v>
                </c:pt>
                <c:pt idx="2">
                  <c:v>600</c:v>
                </c:pt>
                <c:pt idx="3">
                  <c:v>9999</c:v>
                </c:pt>
              </c:numCache>
            </c:numRef>
          </c:xVal>
          <c:yVal>
            <c:numRef>
              <c:f>Sheet1!$Q$2:$Q$7</c:f>
              <c:numCache>
                <c:formatCode>General</c:formatCode>
                <c:ptCount val="6"/>
                <c:pt idx="0">
                  <c:v>62.2</c:v>
                </c:pt>
                <c:pt idx="1">
                  <c:v>62.2</c:v>
                </c:pt>
                <c:pt idx="2">
                  <c:v>60.5</c:v>
                </c:pt>
                <c:pt idx="3">
                  <c:v>60.5</c:v>
                </c:pt>
              </c:numCache>
            </c:numRef>
          </c:yVal>
        </c:ser>
        <c:ser>
          <c:idx val="4"/>
          <c:order val="1"/>
          <c:tx>
            <c:strRef>
              <c:f>Sheet1!$S$1</c:f>
              <c:strCache>
                <c:ptCount val="1"/>
                <c:pt idx="0">
                  <c:v>Gen Protection Lo</c:v>
                </c:pt>
              </c:strCache>
            </c:strRef>
          </c:tx>
          <c:spPr>
            <a:ln w="38100">
              <a:solidFill>
                <a:srgbClr val="FF00FF"/>
              </a:solidFill>
              <a:prstDash val="solid"/>
            </a:ln>
          </c:spPr>
          <c:marker>
            <c:symbol val="none"/>
          </c:marker>
          <c:xVal>
            <c:numRef>
              <c:f>Sheet1!$S$2:$S$5</c:f>
              <c:numCache>
                <c:formatCode>General</c:formatCode>
                <c:ptCount val="4"/>
                <c:pt idx="0">
                  <c:v>0.1</c:v>
                </c:pt>
                <c:pt idx="1">
                  <c:v>2</c:v>
                </c:pt>
                <c:pt idx="2">
                  <c:v>1800</c:v>
                </c:pt>
                <c:pt idx="3">
                  <c:v>9999</c:v>
                </c:pt>
              </c:numCache>
            </c:numRef>
          </c:xVal>
          <c:yVal>
            <c:numRef>
              <c:f>Sheet1!$T$2:$T$5</c:f>
              <c:numCache>
                <c:formatCode>General</c:formatCode>
                <c:ptCount val="4"/>
                <c:pt idx="0">
                  <c:v>57.8</c:v>
                </c:pt>
                <c:pt idx="1">
                  <c:v>57.8</c:v>
                </c:pt>
                <c:pt idx="2">
                  <c:v>59.5</c:v>
                </c:pt>
                <c:pt idx="3">
                  <c:v>59.5</c:v>
                </c:pt>
              </c:numCache>
            </c:numRef>
          </c:yVal>
        </c:ser>
        <c:axId val="121538048"/>
        <c:axId val="121539968"/>
      </c:scatterChart>
      <c:valAx>
        <c:axId val="121538048"/>
        <c:scaling>
          <c:logBase val="10"/>
          <c:orientation val="minMax"/>
        </c:scaling>
        <c:axPos val="b"/>
        <c:minorGridlines>
          <c:spPr>
            <a:ln w="3175">
              <a:solidFill>
                <a:srgbClr val="808080"/>
              </a:solidFill>
              <a:prstDash val="solid"/>
            </a:ln>
          </c:spPr>
        </c:minorGridlines>
        <c:title>
          <c:tx>
            <c:rich>
              <a:bodyPr/>
              <a:lstStyle/>
              <a:p>
                <a:pPr>
                  <a:defRPr sz="800" b="1" i="0" u="none" strike="noStrike" baseline="0">
                    <a:solidFill>
                      <a:srgbClr val="000000"/>
                    </a:solidFill>
                    <a:latin typeface="Arial"/>
                    <a:ea typeface="Arial"/>
                    <a:cs typeface="Arial"/>
                  </a:defRPr>
                </a:pPr>
                <a:r>
                  <a:rPr lang="en-US"/>
                  <a:t>Time (sec)</a:t>
                </a:r>
              </a:p>
            </c:rich>
          </c:tx>
          <c:layout>
            <c:manualLayout>
              <c:xMode val="edge"/>
              <c:yMode val="edge"/>
              <c:x val="0.4213036565977743"/>
              <c:y val="0.87556561085972862"/>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21539968"/>
        <c:crosses val="autoZero"/>
        <c:crossBetween val="midCat"/>
      </c:valAx>
      <c:valAx>
        <c:axId val="121539968"/>
        <c:scaling>
          <c:orientation val="minMax"/>
        </c:scaling>
        <c:axPos val="r"/>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en-US"/>
                  <a:t>Frequency (Hz)</a:t>
                </a:r>
              </a:p>
            </c:rich>
          </c:tx>
          <c:layout>
            <c:manualLayout>
              <c:xMode val="edge"/>
              <c:yMode val="edge"/>
              <c:x val="0.9443561208267075"/>
              <c:y val="0.38235294117647173"/>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en-US"/>
          </a:p>
        </c:txPr>
        <c:crossAx val="121538048"/>
        <c:crosses val="max"/>
        <c:crossBetween val="midCat"/>
      </c:valAx>
      <c:spPr>
        <a:noFill/>
        <a:ln w="3175">
          <a:solidFill>
            <a:srgbClr val="808080"/>
          </a:solidFill>
          <a:prstDash val="solid"/>
        </a:ln>
      </c:spPr>
    </c:plotArea>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Standard Development Roadmap</vt:lpstr>
    </vt:vector>
  </TitlesOfParts>
  <Company>PacifiCorp</Company>
  <LinksUpToDate>false</LinksUpToDate>
  <CharactersWithSpaces>19546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Development Roadmap</dc:title>
  <dc:creator>p04567</dc:creator>
  <cp:lastModifiedBy>Harry Tom</cp:lastModifiedBy>
  <cp:revision>3</cp:revision>
  <cp:lastPrinted>2010-06-13T13:15:00Z</cp:lastPrinted>
  <dcterms:created xsi:type="dcterms:W3CDTF">2010-07-16T18:27:00Z</dcterms:created>
  <dcterms:modified xsi:type="dcterms:W3CDTF">2010-07-16T18:29:00Z</dcterms:modified>
</cp:coreProperties>
</file>